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60" w:lineRule="exact"/>
        <w:ind w:left="0" w:leftChars="0" w:firstLine="0" w:firstLineChars="0"/>
        <w:rPr>
          <w:rFonts w:hint="eastAsia" w:ascii="宋体" w:hAnsi="宋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黑体" w:cs="黑体"/>
          <w:color w:val="000000"/>
          <w:kern w:val="0"/>
          <w:sz w:val="32"/>
          <w:szCs w:val="32"/>
          <w:lang w:bidi="ar"/>
        </w:rPr>
        <w:t>附件</w:t>
      </w:r>
    </w:p>
    <w:p>
      <w:pPr>
        <w:pStyle w:val="2"/>
        <w:spacing w:after="0" w:line="560" w:lineRule="exact"/>
        <w:ind w:left="0" w:leftChars="0" w:firstLine="0" w:firstLineChars="0"/>
        <w:rPr>
          <w:rFonts w:hint="eastAsia" w:ascii="宋体" w:hAnsi="宋体" w:eastAsia="黑体" w:cs="黑体"/>
          <w:color w:val="000000"/>
          <w:kern w:val="0"/>
          <w:sz w:val="32"/>
          <w:szCs w:val="32"/>
          <w:lang w:bidi="ar"/>
        </w:rPr>
      </w:pPr>
    </w:p>
    <w:p>
      <w:pPr>
        <w:pStyle w:val="2"/>
        <w:spacing w:after="0" w:line="560" w:lineRule="exact"/>
        <w:ind w:left="0" w:leftChars="0" w:firstLine="0" w:firstLineChars="0"/>
        <w:jc w:val="center"/>
        <w:rPr>
          <w:rFonts w:hint="eastAsia" w:ascii="宋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方正小标宋简体"/>
          <w:sz w:val="44"/>
          <w:szCs w:val="44"/>
        </w:rPr>
        <w:t>2023年上犹县粮食生产扶持政策</w:t>
      </w:r>
    </w:p>
    <w:bookmarkEnd w:id="0"/>
    <w:p>
      <w:pPr>
        <w:widowControl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b/>
          <w:sz w:val="32"/>
          <w:szCs w:val="32"/>
        </w:rPr>
      </w:pP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1.水稻种植补助。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按照“谁种植补给谁”原则鼓励发展规模化种植，对种植“双季稻”的农户、经营主体等给予奖补（早稻先行奖补50%，晚稻再奖补50%）：对种植300亩（含）以上的，奖补300元/亩；种植50亩（含）以上、300亩以下的，奖补260 元/亩；种植50亩以下的，奖补220元/亩。对种植一季稻（含再生稻）的农户、经营主体等按60元/亩进行奖补。（支持乡、村统一购种、统一育秧、统一翻耕，可从双季稻补贴中按早稻购种补贴60元/亩，早稻育秧补贴40元/亩，早稻翻耕补贴60元/亩的标准扣除）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2.耕地地力补贴和稻谷补助。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严格兑现耕地地力补贴和稻谷补贴政策，抛荒耕地不得享受两项补贴。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3.撂荒耕地及耕地“非粮化”复耕补助。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根据《上犹县有序推进耕地撂荒、耕地“非粮化”整治工作方案》（上府办发〔2022〕85号）文件精神，对现有苗木、果业及其他经济作物基地进行复耕的，在2023年整治到位且当年种植早稻或中稻的，对实施主体按2023年500元/亩、2024年400元/亩、2025年300元/亩的标准连续奖补三年，奖补资金须每年在复耕耕地上栽种完早稻或中稻后予以兑现。对长期撂荒耕地进行复耕的，由村集体统一收回土地经营权，并进行复耕，复耕后免租金给村集体耕种10年。在规定期限内整治到位且当年种植早稻或中稻的给予实施乡镇200 元/亩的整治补助，奖补资金须每年在复耕耕地上栽种完早稻或中稻后予以兑现。</w:t>
      </w:r>
    </w:p>
    <w:p>
      <w:pPr>
        <w:widowControl/>
        <w:spacing w:line="560" w:lineRule="exact"/>
        <w:ind w:firstLine="643" w:firstLineChars="200"/>
        <w:rPr>
          <w:rFonts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4.农业机械补助。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对县内从事粮食生产的个人和粮食生产经营组织，购置国家补贴范围内且用于粮食生产的相关机械设备并经乡（镇）、村核实投入使用的，给予国家补贴等额的县级累加补贴。所有单台（套）机具累计财政补贴总额（含项目资金、国家农机补贴、省农业项目补贴、市农机补贴、县农机补贴等）最高不能超过单台（套）机具售价的60%。对有购机意向的，积极引导其使用“江西农机补贴APP”，以便申请办理农机购置补贴。由县财政局统筹安排200万元（含上级补助资金）用于组建农机综合服务协会、中心等组织，为农民提供优质农机服务，降低农机生产成本。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5.信贷保险扶持。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对全县水稻购买农业保险，建立水稻保险信息共享机制，加大水稻保险承保、查勘、定损等基础数据和技术支持，推动水稻保险精准承保、精准理赔。加强对保险公司在承保、理赔、服务等环节的监管，着力解决理赔难、赔付低等问题，切实减轻农民种粮风险。种植面积20亩以上的农户、农业经营主体可申请“农业产业振兴信贷通”贷款，并按规定对贷款进行财政贴息。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6.稻谷收储保障。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认真落实国家稻谷最低收购价政策，严格按照国家规定，及早谋划仓容和资金筹备工作，做到仓等粮、钱等粮。严格按照国家规定，及时向国家有关部门申请启动最低收购价预案，鼓励多元化主体参与粮食收购，推行“粮油公司+农户”收购粮食方式，保持粮食收购市场平稳，坚决守住“种粮卖得出”的底线，对售卖给上犹县国有粮库按“谁卖粮补给谁”的原则，对早稻收购实行运输补贴（补贴标准按《关于全面落实稳住经济若干政策措施的通知》（上府字</w:t>
      </w:r>
      <w:r>
        <w:rPr>
          <w:rFonts w:hint="eastAsia" w:ascii="宋体" w:hAnsi="宋体" w:eastAsia="仿宋_GB2312" w:cs="仿宋_GB2312"/>
          <w:sz w:val="32"/>
          <w:szCs w:val="32"/>
        </w:rPr>
        <w:t>〔2022〕</w:t>
      </w:r>
      <w:r>
        <w:rPr>
          <w:rFonts w:hint="eastAsia" w:ascii="宋体" w:hAnsi="宋体" w:eastAsia="仿宋_GB2312" w:cs="仿宋_GB2312"/>
          <w:bCs/>
          <w:sz w:val="32"/>
          <w:szCs w:val="32"/>
        </w:rPr>
        <w:t>18号）精神执行），解决群众卖粮运输困难的问题。与巩固拓展脱贫攻坚成果相衔接，对已脱贫户（含认定的边缘户）、村级集体组织发展粮食生产的，售粮补助仍按产业到户政策进行奖补，补贴资金从巩固拓展脱贫攻坚成果衔接乡村振兴资金中支付。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7.项目建设支持。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对集中连片种植双季稻且规模较大的，优先安排农田、水利设施等基础设施以及统防统治项目等。</w:t>
      </w:r>
    </w:p>
    <w:p>
      <w:pPr>
        <w:widowControl/>
        <w:spacing w:line="560" w:lineRule="exact"/>
        <w:ind w:firstLine="643" w:firstLineChars="200"/>
        <w:rPr>
          <w:rFonts w:hint="eastAsia" w:ascii="宋体" w:hAnsi="宋体" w:eastAsia="仿宋_GB2312" w:cs="仿宋_GB2312"/>
          <w:bCs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8.加大防灾减灾力度。</w:t>
      </w:r>
      <w:r>
        <w:rPr>
          <w:rFonts w:hint="eastAsia" w:ascii="宋体" w:hAnsi="宋体" w:eastAsia="仿宋_GB2312" w:cs="仿宋_GB2312"/>
          <w:bCs/>
          <w:sz w:val="32"/>
          <w:szCs w:val="32"/>
        </w:rPr>
        <w:t>加强重大病虫害和自然灾害监测预警，及时发布监测信息，做好稻瘟病、草地贪夜蛾等重大植物疫情防控。强化抗灾救灾技术指导，确保灾前、灾时、灾后各项技术服务工作及时到位，将灾害损失降到最低限度。加强农情调度，及时准确核实灾情，落实生产救灾资金。</w:t>
      </w:r>
    </w:p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ZTRkNmEyNzY4MzRlNGY2ZDVlNGFlMDQ3MDZjOWQifQ=="/>
  </w:docVars>
  <w:rsids>
    <w:rsidRoot w:val="39B65DDC"/>
    <w:rsid w:val="01162D52"/>
    <w:rsid w:val="0DDA1191"/>
    <w:rsid w:val="0E206739"/>
    <w:rsid w:val="112160D1"/>
    <w:rsid w:val="18A924CA"/>
    <w:rsid w:val="18E66287"/>
    <w:rsid w:val="24E11458"/>
    <w:rsid w:val="295F2C43"/>
    <w:rsid w:val="321A1059"/>
    <w:rsid w:val="33992619"/>
    <w:rsid w:val="33D74BEF"/>
    <w:rsid w:val="382445A2"/>
    <w:rsid w:val="38276FA7"/>
    <w:rsid w:val="39B65DDC"/>
    <w:rsid w:val="3C1F52C4"/>
    <w:rsid w:val="3E3F1B59"/>
    <w:rsid w:val="3F461B6F"/>
    <w:rsid w:val="406418CE"/>
    <w:rsid w:val="42164818"/>
    <w:rsid w:val="49C22C44"/>
    <w:rsid w:val="527D1680"/>
    <w:rsid w:val="532B6A06"/>
    <w:rsid w:val="533B1682"/>
    <w:rsid w:val="5783553F"/>
    <w:rsid w:val="58640AB1"/>
    <w:rsid w:val="5C00408D"/>
    <w:rsid w:val="5C15186E"/>
    <w:rsid w:val="6B82198C"/>
    <w:rsid w:val="6FD355A2"/>
    <w:rsid w:val="718E18AE"/>
    <w:rsid w:val="7252385A"/>
    <w:rsid w:val="74C770C0"/>
    <w:rsid w:val="7B8120A1"/>
    <w:rsid w:val="7D5B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99"/>
    <w:pPr>
      <w:spacing w:after="120"/>
      <w:ind w:left="20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2023-03-24T08:51:00Z</dcterms:created>
  <dc:creator>Administrator</dc:creator>
  <cp:lastModifiedBy>Administrator</cp:lastModifiedBy>
  <dcterms:modified xsi:type="dcterms:W3CDTF">2023-03-24T08:52:21Z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288DF687E4C046DE9AF6F200183A1D7B</vt:lpwstr>
  </property>
</Properties>
</file>