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4724718"/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上犹县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国有土地上房屋征收与补偿领域标准目录</w:t>
      </w:r>
      <w:bookmarkEnd w:id="0"/>
    </w:p>
    <w:tbl>
      <w:tblPr>
        <w:tblStyle w:val="3"/>
        <w:tblW w:w="14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080"/>
        <w:gridCol w:w="1800"/>
        <w:gridCol w:w="3240"/>
        <w:gridCol w:w="1260"/>
        <w:gridCol w:w="1440"/>
        <w:gridCol w:w="1080"/>
        <w:gridCol w:w="720"/>
        <w:gridCol w:w="709"/>
        <w:gridCol w:w="551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32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32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国家层面法规政策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地方层面法规政策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地方性法规；地方政府规章；规范性文件。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《中华人民共和国政府信息公开条例》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启动要件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征收项目符合公共利益的相关材料。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自收到申请之日起20个工作日内公开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■其他_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社会稳定风险评估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社会稳定风险评估结果。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自收到申请之日起20个工作日内公开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■其他_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房屋调查登记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入户调查通知；调查结果；认定结果。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房屋征收补偿方案拟订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论证结论;征求意见情况;根据公众意见修改情况。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信息形成或者变更之日起20个工作日内予以公开；征求意见期限不得少于30日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房屋征收决定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房屋征收决定公告（包括补偿方案和行政复议、行政诉讼权利等事项）。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评估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房地产估价机构确定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房地产估价机构选定或确定通知。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被征收房屋评估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分户的初步评估结果。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补偿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分户补偿情况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分户补偿结果。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补偿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产权调换房屋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房源信息；选房办法；选房结果。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房屋征收补偿决定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房屋征收补偿决定公告。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上犹县住建局</w:t>
            </w:r>
            <w:bookmarkStart w:id="1" w:name="_GoBack"/>
            <w:bookmarkEnd w:id="1"/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970238"/>
    <w:rsid w:val="636B6387"/>
    <w:rsid w:val="7EA70394"/>
    <w:rsid w:val="7F7E4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2021-12-07T16:32:00Z</dcterms:created>
  <dc:creator>Administrator</dc:creator>
  <cp:lastModifiedBy>user</cp:lastModifiedBy>
  <dcterms:modified xsi:type="dcterms:W3CDTF">2024-12-25T18:09:19Z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2E1010104B654255BCFD0389B95077F1</vt:lpwstr>
  </property>
</Properties>
</file>