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77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8"/>
        </w:rPr>
        <w:t>上犹县司法局2023年项目绩效</w:t>
      </w:r>
    </w:p>
    <w:p w14:paraId="17634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8"/>
        </w:rPr>
        <w:t>自评总报告</w:t>
      </w:r>
    </w:p>
    <w:p w14:paraId="2D2856FC">
      <w:pPr>
        <w:rPr>
          <w:rFonts w:hint="eastAsia"/>
        </w:rPr>
      </w:pPr>
    </w:p>
    <w:p w14:paraId="5DDB3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2023年我单位在县委、县政府的正确领导下，积极配合县财政局预算绩效管理相关文件精神，全面推进单位预算绩效管理工作，不断提高预算绩效管理工作的质量和水平，提高财政资金使用效益，取得了较好的成效。现将2023年部门绩效自评总报告综述如下：</w:t>
      </w:r>
    </w:p>
    <w:p w14:paraId="336A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一、基本情况</w:t>
      </w:r>
    </w:p>
    <w:p w14:paraId="7108A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2023年我单位为保障社区矫正工作正常运转而申请社区矫正工作经费，项目金额据实拨付，有效保障了我单位社矫工作的资金需求。申请政法转移支付资金用于推动全面依法治县、开展普法依法治理业务、指导司法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规范化建设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、开展法律援助等工作。</w:t>
      </w:r>
    </w:p>
    <w:p w14:paraId="65699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sz w:val="30"/>
          <w:szCs w:val="30"/>
        </w:rPr>
        <w:t>项目绩效目标</w:t>
      </w:r>
    </w:p>
    <w:p w14:paraId="07F8A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保障本单位依法履行工作职能。</w:t>
      </w:r>
    </w:p>
    <w:p w14:paraId="17594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（二）实施情况</w:t>
      </w:r>
    </w:p>
    <w:p w14:paraId="6988F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1.抓实特殊人群管控。</w:t>
      </w:r>
      <w:r>
        <w:rPr>
          <w:rFonts w:hint="eastAsia" w:ascii="仿宋_GB2312" w:hAnsi="仿宋_GB2312" w:eastAsia="仿宋_GB2312" w:cs="仿宋_GB2312"/>
          <w:sz w:val="30"/>
          <w:szCs w:val="30"/>
        </w:rPr>
        <w:t>2023年我单位以开展社区矫正“十百千万”专项行动为契机，加强特殊人群管理和帮扶，提升社区矫正和安置帮教工作质效，同时做好“远程帮教会见”民生工程。省内接送率、安置率、帮教率均为100%；补助发放到位率100%。</w:t>
      </w:r>
    </w:p>
    <w:p w14:paraId="1221E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2.巩固法治宣传成效。</w:t>
      </w:r>
      <w:r>
        <w:rPr>
          <w:rFonts w:hint="eastAsia" w:ascii="仿宋_GB2312" w:hAnsi="仿宋_GB2312" w:eastAsia="仿宋_GB2312" w:cs="仿宋_GB2312"/>
          <w:sz w:val="30"/>
          <w:szCs w:val="30"/>
        </w:rPr>
        <w:t>持续推进“八五”普法，完成全省、全市“八五”普法规划中期评估台账收集整理工作，组织县“八五”普法讲师团深入全县14个乡（镇）开展巡回宣讲活动，扎实推进“法律明白人”培养工程，用好用活普法放映队、法治宣传队、法律服务队，广泛开展以案释法、普法宣传等活动，将法律服务送到人民群众的“家门口”。加强新媒体普法宣传，在局微信公众号设立“小司带你游司法”“身边的公共法律服务”“优秀法律明白人”展播等专栏，运用新媒体让法治宣传更接地气。</w:t>
      </w:r>
    </w:p>
    <w:p w14:paraId="05DB7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今年来，累计开展活动1764场，解答相关法律咨询4620余人次，发放法治宣传折页280000余份；1600余人参训，发放学习资料2000余份；培养了8887名“法律明白人”骨干，68985名“法律明白人”；局微信公众号累计发布推文472篇，阅读量37万+，连续10个月入围全省司法行政系统微信公众号影响力排行榜前十。较好的完成了年初的绩效目标。</w:t>
      </w:r>
    </w:p>
    <w:p w14:paraId="2B6F9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二、单位自评工作开展情况</w:t>
      </w:r>
    </w:p>
    <w:p w14:paraId="1DB36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根据县财政通知要求，通过比较年初预算绩效目标，对项目的资金使用情况和绩效目标完成度开展了全面、认真的自评。</w:t>
      </w:r>
    </w:p>
    <w:p w14:paraId="482D0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三、综合评价结论</w:t>
      </w:r>
    </w:p>
    <w:p w14:paraId="1ACC2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通过比对年初预算绩效目标表,认为本年度一般公共预算资金项目整体开展有序、执行情况较好、取得了相应成效，为下年预算和工作安排提供了较有力的参考依据。</w:t>
      </w:r>
    </w:p>
    <w:p w14:paraId="6CC4F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四、绩效目标完成情况总体分析</w:t>
      </w:r>
    </w:p>
    <w:p w14:paraId="5A2B1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2023年我单位绩效目标执行情况较好。</w:t>
      </w:r>
    </w:p>
    <w:p w14:paraId="5DD2E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（一）产出指标完成情况分析</w:t>
      </w:r>
    </w:p>
    <w:p w14:paraId="20858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（1）数量指标完成情况：</w:t>
      </w:r>
    </w:p>
    <w:p w14:paraId="3CD0F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县法援中心共受理法律援助案件大于400件，为群众挽回和避免损失800余万元；县公证处办理各类公证业务大于330件；办理行政执法案件416件；开展培训4次，累计1700余人次参加培训。</w:t>
      </w:r>
    </w:p>
    <w:p w14:paraId="53193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2023年，累计开展活动1764场，解答相关法律咨询4620余人次，发放法治宣传折页280000余份；1600余人参训，发放学习资料2000余份；培养了8887名“法律明白人”骨干，68985名“法律明白人”；局微信公众号累计发布推文472篇，阅读量37万+，连续10个月入围全省司法行政系统微信公众号影响力排行榜前十。</w:t>
      </w:r>
    </w:p>
    <w:p w14:paraId="2AAE8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接收刑满释放人员78人，省内接送率、安置率、帮教率均为100%；补助发放到位率100%。新成立个人调解工作室16个，实现了乡（镇）全覆盖。</w:t>
      </w:r>
    </w:p>
    <w:p w14:paraId="76FF8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各级调解委员会累计排查各类矛盾纠纷3560余件，调解成功率达98.6%，无群体性上访和群体性械斗事件，有效筑牢和谐稳定的“第一道防线”。</w:t>
      </w:r>
    </w:p>
    <w:p w14:paraId="6B2C3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（2）时效指标完成情况：</w:t>
      </w:r>
      <w:r>
        <w:rPr>
          <w:rFonts w:hint="eastAsia" w:ascii="仿宋_GB2312" w:hAnsi="仿宋_GB2312" w:eastAsia="仿宋_GB2312" w:cs="仿宋_GB2312"/>
          <w:sz w:val="30"/>
          <w:szCs w:val="30"/>
        </w:rPr>
        <w:t>所有资金均已及时据实拨付完成。</w:t>
      </w:r>
    </w:p>
    <w:p w14:paraId="376B4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（二）效益指标完成情况分析</w:t>
      </w:r>
    </w:p>
    <w:p w14:paraId="6CE57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社会效益指标：全面依法治县工作取得较大进步。</w:t>
      </w:r>
    </w:p>
    <w:p w14:paraId="29BA6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（三）满意度指标完成情况分析</w:t>
      </w:r>
    </w:p>
    <w:p w14:paraId="3A042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群众认可我单位的工作成绩，感到十分满意。</w:t>
      </w:r>
    </w:p>
    <w:p w14:paraId="1CE13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五、偏离绩效目标的原因和改进措施</w:t>
      </w:r>
    </w:p>
    <w:p w14:paraId="392D6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本单位本年度一般公共预算资金项目未偏离绩效目标。</w:t>
      </w:r>
    </w:p>
    <w:p w14:paraId="3861C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六、绩效自评结果拟应用和公开情况</w:t>
      </w:r>
    </w:p>
    <w:p w14:paraId="7F206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我单位将将绩效自评结果应用于指导下年工作开展与预算编制。另绩效自评结果将随部门决算一起在县政府信息公开网公开。</w:t>
      </w:r>
    </w:p>
    <w:p w14:paraId="48F09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E7A6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24BF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DBBDB1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DBBDB1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OWQ5YjdmZDU5MTIzOTNlZjhmMWQ2MTQ0MDcwZjYifQ=="/>
  </w:docVars>
  <w:rsids>
    <w:rsidRoot w:val="149E6F0E"/>
    <w:rsid w:val="149E6F0E"/>
    <w:rsid w:val="42FB2A57"/>
    <w:rsid w:val="5986467B"/>
    <w:rsid w:val="5D77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0"/>
    <w:pPr>
      <w:widowControl/>
      <w:spacing w:after="120"/>
      <w:jc w:val="left"/>
    </w:pPr>
    <w:rPr>
      <w:rFonts w:eastAsia="仿宋_GB2312"/>
      <w:kern w:val="0"/>
      <w:sz w:val="32"/>
      <w:szCs w:val="32"/>
    </w:rPr>
  </w:style>
  <w:style w:type="paragraph" w:styleId="4">
    <w:name w:val="Body Text Indent"/>
    <w:basedOn w:val="1"/>
    <w:next w:val="2"/>
    <w:qFormat/>
    <w:uiPriority w:val="99"/>
    <w:pPr>
      <w:ind w:firstLine="63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99"/>
    <w:pPr>
      <w:spacing w:after="120"/>
      <w:ind w:left="200" w:leftChars="20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1486</Words>
  <Characters>1598</Characters>
  <Lines>0</Lines>
  <Paragraphs>0</Paragraphs>
  <TotalTime>13</TotalTime>
  <ScaleCrop>false</ScaleCrop>
  <LinksUpToDate>false</LinksUpToDate>
  <CharactersWithSpaces>1598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2024-09-26T03:15:00Z</dcterms:created>
  <dc:creator>燕儿～</dc:creator>
  <cp:lastModifiedBy>燕儿～</cp:lastModifiedBy>
  <cp:lastPrinted>2024-09-27T00:58:00Z</cp:lastPrinted>
  <dcterms:modified xsi:type="dcterms:W3CDTF">2024-09-29T03:19:18Z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8B1C824860774CEABA0A99C7CD656046_11</vt:lpwstr>
  </property>
</Properties>
</file>