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95FBE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宋体" w:hAnsi="宋体" w:eastAsia="方正小标宋简体" w:cs="方正小标宋简体"/>
          <w:b w:val="0"/>
          <w:bCs w:val="0"/>
          <w:i w:val="0"/>
          <w:iCs w:val="0"/>
          <w:caps w:val="0"/>
          <w:color w:val="000000"/>
          <w:spacing w:val="0"/>
          <w:sz w:val="44"/>
          <w:szCs w:val="44"/>
          <w:shd w:val="clear" w:fill="FFFFFF"/>
          <w:lang w:val="en-US" w:eastAsia="zh-CN"/>
        </w:rPr>
      </w:pPr>
    </w:p>
    <w:p w14:paraId="0AACB57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宋体" w:hAnsi="宋体" w:eastAsia="方正小标宋简体" w:cs="方正小标宋简体"/>
          <w:b w:val="0"/>
          <w:bCs w:val="0"/>
          <w:i w:val="0"/>
          <w:iCs w:val="0"/>
          <w:caps w:val="0"/>
          <w:color w:val="000000"/>
          <w:spacing w:val="0"/>
          <w:sz w:val="44"/>
          <w:szCs w:val="44"/>
          <w:shd w:val="clear" w:fill="FFFFFF"/>
          <w:lang w:val="en-US" w:eastAsia="zh-CN"/>
        </w:rPr>
      </w:pPr>
      <w:r>
        <w:rPr>
          <w:rFonts w:hint="eastAsia" w:ascii="宋体" w:hAnsi="宋体" w:eastAsia="方正小标宋简体" w:cs="方正小标宋简体"/>
          <w:b w:val="0"/>
          <w:bCs w:val="0"/>
          <w:i w:val="0"/>
          <w:iCs w:val="0"/>
          <w:caps w:val="0"/>
          <w:color w:val="000000"/>
          <w:spacing w:val="0"/>
          <w:sz w:val="44"/>
          <w:szCs w:val="44"/>
          <w:shd w:val="clear" w:fill="FFFFFF"/>
          <w:lang w:val="en-US" w:eastAsia="zh-CN"/>
        </w:rPr>
        <w:t>上犹县医养中心床位费、护理费收费标准方案</w:t>
      </w:r>
    </w:p>
    <w:p w14:paraId="3A068B0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b w:val="0"/>
          <w:bCs w:val="0"/>
          <w:i w:val="0"/>
          <w:iCs w:val="0"/>
          <w:caps w:val="0"/>
          <w:color w:val="000000"/>
          <w:spacing w:val="0"/>
          <w:sz w:val="32"/>
          <w:szCs w:val="32"/>
          <w:shd w:val="clear" w:fill="FFFFFF"/>
          <w:lang w:val="en-US" w:eastAsia="zh-CN"/>
        </w:rPr>
      </w:pPr>
      <w:r>
        <w:rPr>
          <w:rFonts w:hint="eastAsia" w:ascii="仿宋_GB2312" w:hAnsi="仿宋_GB2312" w:eastAsia="仿宋_GB2312" w:cs="仿宋_GB2312"/>
          <w:b w:val="0"/>
          <w:bCs w:val="0"/>
          <w:i w:val="0"/>
          <w:iCs w:val="0"/>
          <w:caps w:val="0"/>
          <w:color w:val="000000"/>
          <w:spacing w:val="0"/>
          <w:sz w:val="32"/>
          <w:szCs w:val="32"/>
          <w:shd w:val="clear" w:fill="FFFFFF"/>
          <w:lang w:val="en-US" w:eastAsia="zh-CN"/>
        </w:rPr>
        <w:t>（征求意见稿）</w:t>
      </w:r>
    </w:p>
    <w:p w14:paraId="603D1A5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b w:val="0"/>
          <w:bCs w:val="0"/>
          <w:i w:val="0"/>
          <w:iCs w:val="0"/>
          <w:caps w:val="0"/>
          <w:color w:val="000000"/>
          <w:spacing w:val="0"/>
          <w:sz w:val="32"/>
          <w:szCs w:val="32"/>
          <w:shd w:val="clear" w:fill="FFFFFF"/>
          <w:lang w:val="en-US" w:eastAsia="zh-CN"/>
        </w:rPr>
      </w:pPr>
    </w:p>
    <w:p w14:paraId="5C78E07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随着经济和社会的快速发展，我县人民生活水平不断提高，老人对养老机构的入住环境、设施设备、伙食改善、服务质量等方面的要求逐步提高。为进一步规范我县养老服务机构收费行为，促进养老事业健康有序发展，切实维护老年人和养老机构的合法权益，根据《政府制定价格行为规则》等有关规定，在开展价格和成本调查、广泛征求意见建议的基础上，考虑社会承受能力等因素，并结合我县实际，拟定本方案。</w:t>
      </w:r>
    </w:p>
    <w:p w14:paraId="7CB0C96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黑体" w:hAnsi="黑体" w:eastAsia="黑体" w:cs="黑体"/>
          <w:b w:val="0"/>
          <w:bCs w:val="0"/>
          <w:i w:val="0"/>
          <w:iCs w:val="0"/>
          <w:caps w:val="0"/>
          <w:color w:val="333333"/>
          <w:spacing w:val="0"/>
          <w:kern w:val="0"/>
          <w:sz w:val="32"/>
          <w:szCs w:val="32"/>
          <w:shd w:val="clear" w:fill="FFFFFF"/>
          <w:lang w:val="en-US" w:eastAsia="zh-CN" w:bidi="ar"/>
        </w:rPr>
      </w:pPr>
      <w:r>
        <w:rPr>
          <w:rFonts w:hint="eastAsia" w:ascii="黑体" w:hAnsi="黑体" w:eastAsia="黑体" w:cs="黑体"/>
          <w:b w:val="0"/>
          <w:bCs w:val="0"/>
          <w:i w:val="0"/>
          <w:iCs w:val="0"/>
          <w:caps w:val="0"/>
          <w:color w:val="333333"/>
          <w:spacing w:val="0"/>
          <w:kern w:val="0"/>
          <w:sz w:val="32"/>
          <w:szCs w:val="32"/>
          <w:shd w:val="clear" w:fill="FFFFFF"/>
          <w:lang w:val="en-US" w:eastAsia="zh-CN" w:bidi="ar"/>
        </w:rPr>
        <w:t>一、医养中心基本情况</w:t>
      </w:r>
    </w:p>
    <w:p w14:paraId="3706A6E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宋体" w:hAnsi="宋体" w:eastAsia="仿宋_GB2312" w:cs="仿宋_GB2312"/>
          <w:i w:val="0"/>
          <w:iCs w:val="0"/>
          <w:caps w:val="0"/>
          <w:color w:val="333333"/>
          <w:spacing w:val="0"/>
          <w:sz w:val="32"/>
          <w:szCs w:val="32"/>
        </w:rPr>
      </w:pPr>
      <w:r>
        <w:rPr>
          <w:rFonts w:hint="eastAsia" w:ascii="宋体" w:hAnsi="宋体" w:eastAsia="仿宋_GB2312" w:cs="仿宋_GB2312"/>
          <w:sz w:val="32"/>
          <w:szCs w:val="32"/>
          <w:lang w:val="en-US" w:eastAsia="zh-CN"/>
        </w:rPr>
        <w:t>县医</w:t>
      </w:r>
      <w:r>
        <w:rPr>
          <w:rFonts w:hint="eastAsia" w:ascii="宋体" w:hAnsi="宋体" w:eastAsia="仿宋_GB2312" w:cs="仿宋_GB2312"/>
          <w:kern w:val="2"/>
          <w:sz w:val="32"/>
          <w:szCs w:val="32"/>
          <w:lang w:val="en-US" w:eastAsia="zh-CN" w:bidi="ar-SA"/>
        </w:rPr>
        <w:t>养中心建设项目总占地面积24300.65㎡（36.5亩），总建筑面积：60975㎡，项目总投资约3.69亿元，共设置医养床位520张（含养老床位、医疗床位、可转换床位）。</w:t>
      </w:r>
      <w:r>
        <w:rPr>
          <w:rFonts w:hint="eastAsia" w:ascii="宋体" w:hAnsi="宋体" w:eastAsia="仿宋_GB2312" w:cs="仿宋_GB2312"/>
          <w:sz w:val="32"/>
          <w:szCs w:val="32"/>
          <w:highlight w:val="none"/>
          <w:lang w:val="en-US" w:eastAsia="zh-CN"/>
        </w:rPr>
        <w:t>医养中心</w:t>
      </w:r>
      <w:r>
        <w:rPr>
          <w:rFonts w:hint="eastAsia" w:ascii="宋体" w:hAnsi="宋体" w:eastAsia="仿宋_GB2312" w:cs="仿宋_GB2312"/>
          <w:kern w:val="2"/>
          <w:sz w:val="32"/>
          <w:szCs w:val="32"/>
          <w:lang w:val="en-US" w:eastAsia="zh-CN" w:bidi="ar-SA"/>
        </w:rPr>
        <w:t>养老床位</w:t>
      </w:r>
      <w:r>
        <w:rPr>
          <w:rFonts w:hint="eastAsia" w:ascii="宋体" w:hAnsi="宋体" w:eastAsia="仿宋_GB2312" w:cs="仿宋_GB2312"/>
          <w:sz w:val="32"/>
          <w:szCs w:val="32"/>
          <w:highlight w:val="none"/>
          <w:lang w:val="en-US" w:eastAsia="zh-CN"/>
        </w:rPr>
        <w:t>内设置98个房间（244张床位）：其中套间4间（共4张床位），单人间28间（共28张床位），双人间18间（共36张床位），三人间32间（共96张床位），四人间3间（共12张床位），五人间10间（共50张床位），六人间3间（共18张床位），房间合计面积：4533.92㎡。</w:t>
      </w:r>
      <w:r>
        <w:rPr>
          <w:rFonts w:hint="eastAsia" w:ascii="宋体" w:hAnsi="宋体" w:eastAsia="仿宋_GB2312" w:cs="仿宋_GB2312"/>
          <w:sz w:val="32"/>
          <w:szCs w:val="32"/>
          <w:lang w:val="en-US" w:eastAsia="zh-CN"/>
        </w:rPr>
        <w:t>院内医疗设备齐全，并提供24小时医疗保障，能够以最快的速度、最强的保障服务老人身体健康和生命安全，实现医疗与养老无缝衔接。</w:t>
      </w:r>
    </w:p>
    <w:p w14:paraId="4DAA4BF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黑体" w:hAnsi="黑体" w:eastAsia="黑体" w:cs="黑体"/>
          <w:b w:val="0"/>
          <w:bCs w:val="0"/>
          <w:i w:val="0"/>
          <w:iCs w:val="0"/>
          <w:caps w:val="0"/>
          <w:color w:val="333333"/>
          <w:spacing w:val="0"/>
          <w:kern w:val="0"/>
          <w:sz w:val="32"/>
          <w:szCs w:val="32"/>
          <w:shd w:val="clear" w:fill="FFFFFF"/>
          <w:lang w:val="en-US" w:eastAsia="zh-CN" w:bidi="ar"/>
        </w:rPr>
      </w:pPr>
      <w:r>
        <w:rPr>
          <w:rFonts w:hint="eastAsia" w:ascii="黑体" w:hAnsi="黑体" w:eastAsia="黑体" w:cs="黑体"/>
          <w:b w:val="0"/>
          <w:bCs w:val="0"/>
          <w:i w:val="0"/>
          <w:iCs w:val="0"/>
          <w:caps w:val="0"/>
          <w:color w:val="333333"/>
          <w:spacing w:val="0"/>
          <w:kern w:val="0"/>
          <w:sz w:val="32"/>
          <w:szCs w:val="32"/>
          <w:shd w:val="clear" w:fill="FFFFFF"/>
          <w:lang w:val="en-US" w:eastAsia="zh-CN" w:bidi="ar"/>
        </w:rPr>
        <w:t>二、制定收费的依据</w:t>
      </w:r>
    </w:p>
    <w:p w14:paraId="1C7D212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（一）《江西省定价目录》（赣发改价调规〔2022〕807号）。</w:t>
      </w:r>
    </w:p>
    <w:p w14:paraId="093004D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（二）国家发展改革委、民政部《关于规范养老机构服务收费管理促进养老服务业健康发展的指导意见》（发改价〔2015〕129号）。</w:t>
      </w:r>
    </w:p>
    <w:p w14:paraId="6D748D4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sz w:val="32"/>
          <w:szCs w:val="32"/>
          <w:lang w:val="en-US" w:eastAsia="zh-CN"/>
        </w:rPr>
        <w:t>（三）赣州市人民政府印发《关于深化公办养老机构改革的实施方案》的通知（赣市府发〔2022〕18号）。</w:t>
      </w:r>
    </w:p>
    <w:p w14:paraId="6D717F1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黑体" w:hAnsi="黑体" w:eastAsia="黑体" w:cs="黑体"/>
          <w:b w:val="0"/>
          <w:bCs w:val="0"/>
          <w:i w:val="0"/>
          <w:iCs w:val="0"/>
          <w:caps w:val="0"/>
          <w:color w:val="333333"/>
          <w:spacing w:val="0"/>
          <w:kern w:val="0"/>
          <w:sz w:val="32"/>
          <w:szCs w:val="32"/>
          <w:shd w:val="clear" w:fill="FFFFFF"/>
          <w:lang w:val="en-US" w:eastAsia="zh-CN" w:bidi="ar"/>
        </w:rPr>
      </w:pPr>
      <w:r>
        <w:rPr>
          <w:rFonts w:hint="eastAsia" w:ascii="黑体" w:hAnsi="黑体" w:eastAsia="黑体" w:cs="黑体"/>
          <w:b w:val="0"/>
          <w:bCs w:val="0"/>
          <w:i w:val="0"/>
          <w:iCs w:val="0"/>
          <w:caps w:val="0"/>
          <w:color w:val="333333"/>
          <w:spacing w:val="0"/>
          <w:kern w:val="0"/>
          <w:sz w:val="32"/>
          <w:szCs w:val="32"/>
          <w:shd w:val="clear" w:fill="FFFFFF"/>
          <w:lang w:val="en-US" w:eastAsia="zh-CN" w:bidi="ar"/>
        </w:rPr>
        <w:t>三、制定收费的原则</w:t>
      </w:r>
    </w:p>
    <w:p w14:paraId="18BEA40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right="0" w:firstLine="636"/>
        <w:jc w:val="left"/>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（一）公益性，居民可承受原则。</w:t>
      </w:r>
      <w:r>
        <w:rPr>
          <w:rFonts w:hint="eastAsia" w:ascii="仿宋_GB2312" w:hAnsi="仿宋_GB2312" w:eastAsia="仿宋_GB2312" w:cs="仿宋_GB2312"/>
          <w:sz w:val="32"/>
          <w:szCs w:val="32"/>
          <w:lang w:val="en-US" w:eastAsia="zh-CN"/>
        </w:rPr>
        <w:t>医养中心养老服务收费标准，将综合考虑我县经济发展水平、运营成本和群众承受能力等实际情况，按照公益性的原则制定。</w:t>
      </w:r>
    </w:p>
    <w:p w14:paraId="06D070D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right="0" w:firstLine="636"/>
        <w:jc w:val="left"/>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（二）合理性、补偿成本的原则。</w:t>
      </w:r>
      <w:r>
        <w:rPr>
          <w:rFonts w:hint="eastAsia" w:ascii="仿宋_GB2312" w:hAnsi="仿宋_GB2312" w:eastAsia="仿宋_GB2312" w:cs="仿宋_GB2312"/>
          <w:sz w:val="32"/>
          <w:szCs w:val="32"/>
          <w:lang w:val="en-US" w:eastAsia="zh-CN"/>
        </w:rPr>
        <w:t>医养中心养老服务成本由政府和群众共同承担，收费标准按照“群众可以承受，财政能够承担，医养中心养老服务可持续发展，养老质量有保障”的原则确定。</w:t>
      </w:r>
    </w:p>
    <w:p w14:paraId="3EC366F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黑体" w:hAnsi="黑体" w:eastAsia="黑体" w:cs="黑体"/>
          <w:b w:val="0"/>
          <w:bCs w:val="0"/>
          <w:i w:val="0"/>
          <w:iCs w:val="0"/>
          <w:caps w:val="0"/>
          <w:color w:val="333333"/>
          <w:spacing w:val="0"/>
          <w:kern w:val="0"/>
          <w:sz w:val="32"/>
          <w:szCs w:val="32"/>
          <w:shd w:val="clear" w:fill="FFFFFF"/>
          <w:lang w:val="en-US" w:eastAsia="zh-CN" w:bidi="ar"/>
        </w:rPr>
      </w:pPr>
      <w:r>
        <w:rPr>
          <w:rFonts w:hint="eastAsia" w:ascii="黑体" w:hAnsi="黑体" w:eastAsia="黑体" w:cs="黑体"/>
          <w:b w:val="0"/>
          <w:bCs w:val="0"/>
          <w:i w:val="0"/>
          <w:iCs w:val="0"/>
          <w:caps w:val="0"/>
          <w:color w:val="333333"/>
          <w:spacing w:val="0"/>
          <w:kern w:val="0"/>
          <w:sz w:val="32"/>
          <w:szCs w:val="32"/>
          <w:shd w:val="clear" w:fill="FFFFFF"/>
          <w:lang w:val="en-US" w:eastAsia="zh-CN" w:bidi="ar"/>
        </w:rPr>
        <w:t>四、拟制定上犹县医养中心床位费、护理费定价方案</w:t>
      </w:r>
    </w:p>
    <w:p w14:paraId="609507E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0" w:right="0" w:firstLine="636"/>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根据医养中心养老服务经营成本状况，坚持医养中心养老服务公益性的原则，考虑到社会承受能力等因素，并参照其周边县（市、区）制定的收费标准，拟定我县医养中心床位费、护理费收费标准如下：</w:t>
      </w:r>
    </w:p>
    <w:p w14:paraId="56059F11">
      <w:pPr>
        <w:pStyle w:val="9"/>
        <w:keepNext w:val="0"/>
        <w:keepLines w:val="0"/>
        <w:pageBreakBefore w:val="0"/>
        <w:kinsoku/>
        <w:wordWrap/>
        <w:overflowPunct/>
        <w:topLinePunct w:val="0"/>
        <w:autoSpaceDE/>
        <w:autoSpaceDN/>
        <w:bidi w:val="0"/>
        <w:adjustRightInd/>
        <w:snapToGrid/>
        <w:spacing w:after="0" w:line="600" w:lineRule="exact"/>
        <w:ind w:left="0" w:leftChars="0" w:firstLine="639" w:firstLineChars="200"/>
        <w:textAlignment w:val="auto"/>
        <w:rPr>
          <w:rFonts w:hint="eastAsia"/>
          <w:b/>
          <w:bCs/>
        </w:rPr>
      </w:pPr>
      <w:r>
        <w:rPr>
          <w:rFonts w:hint="eastAsia" w:ascii="仿宋_GB2312" w:hAnsi="仿宋_GB2312" w:eastAsia="仿宋_GB2312" w:cs="仿宋_GB2312"/>
          <w:b/>
          <w:bCs/>
          <w:i w:val="0"/>
          <w:iCs w:val="0"/>
          <w:caps w:val="0"/>
          <w:color w:val="333333"/>
          <w:spacing w:val="-1"/>
          <w:kern w:val="0"/>
          <w:sz w:val="32"/>
          <w:szCs w:val="32"/>
          <w:shd w:val="clear" w:fill="FFFFFF"/>
          <w:lang w:val="en-US" w:eastAsia="zh-CN" w:bidi="ar"/>
        </w:rPr>
        <w:t>（一）床位费</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7"/>
        <w:gridCol w:w="3090"/>
        <w:gridCol w:w="4710"/>
      </w:tblGrid>
      <w:tr w14:paraId="36169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227" w:type="dxa"/>
          </w:tcPr>
          <w:p w14:paraId="4B7E8109">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序号</w:t>
            </w:r>
          </w:p>
        </w:tc>
        <w:tc>
          <w:tcPr>
            <w:tcW w:w="3090" w:type="dxa"/>
          </w:tcPr>
          <w:p w14:paraId="7E280C16">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房型</w:t>
            </w:r>
          </w:p>
        </w:tc>
        <w:tc>
          <w:tcPr>
            <w:tcW w:w="4710" w:type="dxa"/>
          </w:tcPr>
          <w:p w14:paraId="39C20423">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收费标准（元/床/人/月）</w:t>
            </w:r>
          </w:p>
        </w:tc>
      </w:tr>
      <w:tr w14:paraId="09900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227" w:type="dxa"/>
          </w:tcPr>
          <w:p w14:paraId="6258537C">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w:t>
            </w:r>
          </w:p>
        </w:tc>
        <w:tc>
          <w:tcPr>
            <w:tcW w:w="3090" w:type="dxa"/>
          </w:tcPr>
          <w:p w14:paraId="7AB89D37">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套  间</w:t>
            </w:r>
          </w:p>
        </w:tc>
        <w:tc>
          <w:tcPr>
            <w:tcW w:w="4710" w:type="dxa"/>
          </w:tcPr>
          <w:p w14:paraId="6133C3A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6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2400</w:t>
            </w:r>
          </w:p>
        </w:tc>
      </w:tr>
      <w:tr w14:paraId="31DAD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227" w:type="dxa"/>
          </w:tcPr>
          <w:p w14:paraId="180F69E3">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w:t>
            </w:r>
          </w:p>
        </w:tc>
        <w:tc>
          <w:tcPr>
            <w:tcW w:w="3090" w:type="dxa"/>
          </w:tcPr>
          <w:p w14:paraId="6BF52F2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单人间</w:t>
            </w:r>
          </w:p>
        </w:tc>
        <w:tc>
          <w:tcPr>
            <w:tcW w:w="4710" w:type="dxa"/>
          </w:tcPr>
          <w:p w14:paraId="0D8AEFAE">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1900</w:t>
            </w:r>
          </w:p>
        </w:tc>
      </w:tr>
      <w:tr w14:paraId="017AF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227" w:type="dxa"/>
          </w:tcPr>
          <w:p w14:paraId="3A1BC976">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w:t>
            </w:r>
          </w:p>
        </w:tc>
        <w:tc>
          <w:tcPr>
            <w:tcW w:w="3090" w:type="dxa"/>
          </w:tcPr>
          <w:p w14:paraId="4B086BB4">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双人间</w:t>
            </w:r>
          </w:p>
        </w:tc>
        <w:tc>
          <w:tcPr>
            <w:tcW w:w="4710" w:type="dxa"/>
          </w:tcPr>
          <w:p w14:paraId="16A3B8DD">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1100</w:t>
            </w:r>
          </w:p>
        </w:tc>
      </w:tr>
      <w:tr w14:paraId="1E14F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227" w:type="dxa"/>
          </w:tcPr>
          <w:p w14:paraId="26B0AC04">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w:t>
            </w:r>
          </w:p>
        </w:tc>
        <w:tc>
          <w:tcPr>
            <w:tcW w:w="3090" w:type="dxa"/>
          </w:tcPr>
          <w:p w14:paraId="43FD1864">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三人间</w:t>
            </w:r>
          </w:p>
        </w:tc>
        <w:tc>
          <w:tcPr>
            <w:tcW w:w="4710" w:type="dxa"/>
          </w:tcPr>
          <w:p w14:paraId="5F40498F">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780</w:t>
            </w:r>
          </w:p>
        </w:tc>
      </w:tr>
      <w:tr w14:paraId="761D1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227" w:type="dxa"/>
          </w:tcPr>
          <w:p w14:paraId="562DA5DF">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w:t>
            </w:r>
          </w:p>
        </w:tc>
        <w:tc>
          <w:tcPr>
            <w:tcW w:w="3090" w:type="dxa"/>
          </w:tcPr>
          <w:p w14:paraId="7F227AEA">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四人间</w:t>
            </w:r>
          </w:p>
        </w:tc>
        <w:tc>
          <w:tcPr>
            <w:tcW w:w="4710" w:type="dxa"/>
          </w:tcPr>
          <w:p w14:paraId="1AF9524A">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620</w:t>
            </w:r>
          </w:p>
        </w:tc>
      </w:tr>
      <w:tr w14:paraId="31B07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227" w:type="dxa"/>
          </w:tcPr>
          <w:p w14:paraId="57363F65">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w:t>
            </w:r>
          </w:p>
        </w:tc>
        <w:tc>
          <w:tcPr>
            <w:tcW w:w="3090" w:type="dxa"/>
          </w:tcPr>
          <w:p w14:paraId="6394D3CB">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五人间</w:t>
            </w:r>
          </w:p>
        </w:tc>
        <w:tc>
          <w:tcPr>
            <w:tcW w:w="4710" w:type="dxa"/>
          </w:tcPr>
          <w:p w14:paraId="02C1E5F2">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520</w:t>
            </w:r>
          </w:p>
        </w:tc>
      </w:tr>
      <w:tr w14:paraId="0FDF5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227" w:type="dxa"/>
          </w:tcPr>
          <w:p w14:paraId="24880123">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w:t>
            </w:r>
          </w:p>
        </w:tc>
        <w:tc>
          <w:tcPr>
            <w:tcW w:w="3090" w:type="dxa"/>
          </w:tcPr>
          <w:p w14:paraId="5DBF1E25">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六人间</w:t>
            </w:r>
          </w:p>
        </w:tc>
        <w:tc>
          <w:tcPr>
            <w:tcW w:w="4710" w:type="dxa"/>
          </w:tcPr>
          <w:p w14:paraId="530EA524">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8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450</w:t>
            </w:r>
          </w:p>
        </w:tc>
      </w:tr>
    </w:tbl>
    <w:p w14:paraId="2EF9471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3" w:firstLineChars="200"/>
        <w:jc w:val="both"/>
        <w:textAlignment w:val="auto"/>
        <w:rPr>
          <w:rFonts w:hint="default" w:ascii="宋体" w:hAnsi="宋体" w:eastAsia="宋体" w:cs="宋体"/>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eastAsia="zh-CN"/>
        </w:rPr>
        <w:t>（</w:t>
      </w:r>
      <w:r>
        <w:rPr>
          <w:rFonts w:hint="eastAsia" w:ascii="仿宋_GB2312" w:hAnsi="仿宋_GB2312" w:eastAsia="仿宋_GB2312" w:cs="仿宋_GB2312"/>
          <w:b/>
          <w:bCs/>
          <w:i w:val="0"/>
          <w:iCs w:val="0"/>
          <w:caps w:val="0"/>
          <w:color w:val="333333"/>
          <w:spacing w:val="0"/>
          <w:sz w:val="32"/>
          <w:szCs w:val="32"/>
          <w:shd w:val="clear" w:fill="FFFFFF"/>
          <w:lang w:val="en-US" w:eastAsia="zh-CN"/>
        </w:rPr>
        <w:t>二</w:t>
      </w:r>
      <w:r>
        <w:rPr>
          <w:rFonts w:hint="eastAsia" w:ascii="仿宋_GB2312" w:hAnsi="仿宋_GB2312" w:eastAsia="仿宋_GB2312" w:cs="仿宋_GB2312"/>
          <w:b/>
          <w:bCs/>
          <w:i w:val="0"/>
          <w:iCs w:val="0"/>
          <w:caps w:val="0"/>
          <w:color w:val="333333"/>
          <w:spacing w:val="0"/>
          <w:sz w:val="32"/>
          <w:szCs w:val="32"/>
          <w:shd w:val="clear" w:fill="FFFFFF"/>
          <w:lang w:eastAsia="zh-CN"/>
        </w:rPr>
        <w:t>）</w:t>
      </w:r>
      <w:r>
        <w:rPr>
          <w:rFonts w:hint="eastAsia" w:ascii="仿宋_GB2312" w:hAnsi="仿宋_GB2312" w:eastAsia="仿宋_GB2312" w:cs="仿宋_GB2312"/>
          <w:b/>
          <w:bCs/>
          <w:i w:val="0"/>
          <w:iCs w:val="0"/>
          <w:caps w:val="0"/>
          <w:color w:val="333333"/>
          <w:spacing w:val="0"/>
          <w:sz w:val="32"/>
          <w:szCs w:val="32"/>
          <w:shd w:val="clear" w:fill="FFFFFF"/>
          <w:lang w:val="en-US" w:eastAsia="zh-CN"/>
        </w:rPr>
        <w:t>护理费</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9"/>
        <w:gridCol w:w="3143"/>
        <w:gridCol w:w="3280"/>
        <w:gridCol w:w="1665"/>
      </w:tblGrid>
      <w:tr w14:paraId="7F772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969" w:type="dxa"/>
            <w:vAlign w:val="center"/>
          </w:tcPr>
          <w:p w14:paraId="3BFD0FCF">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序号</w:t>
            </w:r>
          </w:p>
        </w:tc>
        <w:tc>
          <w:tcPr>
            <w:tcW w:w="3143" w:type="dxa"/>
            <w:vAlign w:val="center"/>
          </w:tcPr>
          <w:p w14:paraId="76F56550">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护理等级</w:t>
            </w:r>
          </w:p>
        </w:tc>
        <w:tc>
          <w:tcPr>
            <w:tcW w:w="3280" w:type="dxa"/>
            <w:vAlign w:val="center"/>
          </w:tcPr>
          <w:p w14:paraId="2F68B17B">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收费标准（元/人/月）</w:t>
            </w:r>
          </w:p>
        </w:tc>
        <w:tc>
          <w:tcPr>
            <w:tcW w:w="1665" w:type="dxa"/>
          </w:tcPr>
          <w:p w14:paraId="54A31327">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备注</w:t>
            </w:r>
          </w:p>
        </w:tc>
      </w:tr>
      <w:tr w14:paraId="35142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969" w:type="dxa"/>
            <w:vAlign w:val="center"/>
          </w:tcPr>
          <w:p w14:paraId="2AEF4196">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w:t>
            </w:r>
          </w:p>
        </w:tc>
        <w:tc>
          <w:tcPr>
            <w:tcW w:w="3143" w:type="dxa"/>
            <w:shd w:val="clear" w:color="auto" w:fill="auto"/>
            <w:vAlign w:val="center"/>
          </w:tcPr>
          <w:p w14:paraId="47E6FB4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top"/>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一级护理（自理人员）</w:t>
            </w:r>
          </w:p>
        </w:tc>
        <w:tc>
          <w:tcPr>
            <w:tcW w:w="3280" w:type="dxa"/>
            <w:vAlign w:val="center"/>
          </w:tcPr>
          <w:p w14:paraId="23E425B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600</w:t>
            </w:r>
          </w:p>
        </w:tc>
        <w:tc>
          <w:tcPr>
            <w:tcW w:w="1665" w:type="dxa"/>
            <w:vMerge w:val="restart"/>
            <w:vAlign w:val="center"/>
          </w:tcPr>
          <w:p w14:paraId="0054B14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sz w:val="32"/>
                <w:szCs w:val="32"/>
                <w:lang w:val="en-US" w:eastAsia="zh-CN"/>
              </w:rPr>
              <w:t>如需1对1特需护理，费用由医养中心和委托人双方另行协商确定。</w:t>
            </w:r>
          </w:p>
        </w:tc>
      </w:tr>
      <w:tr w14:paraId="0C5A6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969" w:type="dxa"/>
            <w:vAlign w:val="center"/>
          </w:tcPr>
          <w:p w14:paraId="0FE64237">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w:t>
            </w:r>
          </w:p>
        </w:tc>
        <w:tc>
          <w:tcPr>
            <w:tcW w:w="3143" w:type="dxa"/>
            <w:shd w:val="clear" w:color="auto" w:fill="auto"/>
            <w:vAlign w:val="center"/>
          </w:tcPr>
          <w:p w14:paraId="239D5BA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top"/>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二级护理（轻度失能）</w:t>
            </w:r>
          </w:p>
        </w:tc>
        <w:tc>
          <w:tcPr>
            <w:tcW w:w="3280" w:type="dxa"/>
            <w:vAlign w:val="center"/>
          </w:tcPr>
          <w:p w14:paraId="4EAFD717">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1200</w:t>
            </w:r>
          </w:p>
        </w:tc>
        <w:tc>
          <w:tcPr>
            <w:tcW w:w="1665" w:type="dxa"/>
            <w:vMerge w:val="continue"/>
          </w:tcPr>
          <w:p w14:paraId="5F954406">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p>
        </w:tc>
      </w:tr>
      <w:tr w14:paraId="5B72D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969" w:type="dxa"/>
            <w:vAlign w:val="center"/>
          </w:tcPr>
          <w:p w14:paraId="3CBFF529">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w:t>
            </w:r>
          </w:p>
        </w:tc>
        <w:tc>
          <w:tcPr>
            <w:tcW w:w="3143" w:type="dxa"/>
            <w:shd w:val="clear" w:color="auto" w:fill="auto"/>
            <w:vAlign w:val="center"/>
          </w:tcPr>
          <w:p w14:paraId="093B3DA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top"/>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三级护理（中度失能）</w:t>
            </w:r>
          </w:p>
        </w:tc>
        <w:tc>
          <w:tcPr>
            <w:tcW w:w="3280" w:type="dxa"/>
            <w:vAlign w:val="center"/>
          </w:tcPr>
          <w:p w14:paraId="02D818CF">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2000</w:t>
            </w:r>
          </w:p>
        </w:tc>
        <w:tc>
          <w:tcPr>
            <w:tcW w:w="1665" w:type="dxa"/>
            <w:vMerge w:val="continue"/>
          </w:tcPr>
          <w:p w14:paraId="5832901C">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p>
        </w:tc>
      </w:tr>
      <w:tr w14:paraId="518FE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969" w:type="dxa"/>
            <w:vAlign w:val="center"/>
          </w:tcPr>
          <w:p w14:paraId="2C039818">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w:t>
            </w:r>
          </w:p>
        </w:tc>
        <w:tc>
          <w:tcPr>
            <w:tcW w:w="3143" w:type="dxa"/>
            <w:shd w:val="clear" w:color="auto" w:fill="auto"/>
            <w:vAlign w:val="center"/>
          </w:tcPr>
          <w:p w14:paraId="31293C3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top"/>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四级护理（重度失能）</w:t>
            </w:r>
          </w:p>
        </w:tc>
        <w:tc>
          <w:tcPr>
            <w:tcW w:w="3280" w:type="dxa"/>
            <w:vAlign w:val="center"/>
          </w:tcPr>
          <w:p w14:paraId="284BB58B">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3000</w:t>
            </w:r>
          </w:p>
        </w:tc>
        <w:tc>
          <w:tcPr>
            <w:tcW w:w="1665" w:type="dxa"/>
            <w:vMerge w:val="continue"/>
          </w:tcPr>
          <w:p w14:paraId="5C7CB62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p>
        </w:tc>
      </w:tr>
      <w:tr w14:paraId="7454C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969" w:type="dxa"/>
            <w:vAlign w:val="center"/>
          </w:tcPr>
          <w:p w14:paraId="3F0B6800">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w:t>
            </w:r>
          </w:p>
        </w:tc>
        <w:tc>
          <w:tcPr>
            <w:tcW w:w="3143" w:type="dxa"/>
            <w:shd w:val="clear" w:color="auto" w:fill="auto"/>
            <w:vAlign w:val="center"/>
          </w:tcPr>
          <w:p w14:paraId="1BECB2F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top"/>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五级护理（完全失能）</w:t>
            </w:r>
          </w:p>
        </w:tc>
        <w:tc>
          <w:tcPr>
            <w:tcW w:w="3280" w:type="dxa"/>
            <w:vAlign w:val="center"/>
          </w:tcPr>
          <w:p w14:paraId="4C44F49D">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3800</w:t>
            </w:r>
          </w:p>
        </w:tc>
        <w:tc>
          <w:tcPr>
            <w:tcW w:w="1665" w:type="dxa"/>
            <w:vMerge w:val="continue"/>
          </w:tcPr>
          <w:p w14:paraId="45FCB2D0">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default" w:ascii="仿宋_GB2312" w:hAnsi="仿宋_GB2312" w:eastAsia="仿宋_GB2312" w:cs="仿宋_GB2312"/>
                <w:kern w:val="2"/>
                <w:sz w:val="32"/>
                <w:szCs w:val="32"/>
                <w:lang w:val="en-US" w:eastAsia="zh-CN" w:bidi="ar-SA"/>
              </w:rPr>
            </w:pPr>
          </w:p>
        </w:tc>
      </w:tr>
    </w:tbl>
    <w:p w14:paraId="50AA205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kern w:val="2"/>
          <w:sz w:val="32"/>
          <w:szCs w:val="32"/>
          <w:lang w:val="en-US" w:eastAsia="zh-CN" w:bidi="ar-SA"/>
        </w:rPr>
        <w:t>以上收费标准为最高收费标准，收费单位可根据市场供求情况和消费者承受能力适当下浮，下浮幅度不限。</w:t>
      </w:r>
    </w:p>
    <w:p w14:paraId="164CAFC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黑体" w:hAnsi="黑体" w:eastAsia="黑体" w:cs="黑体"/>
          <w:b w:val="0"/>
          <w:bCs w:val="0"/>
          <w:i w:val="0"/>
          <w:iCs w:val="0"/>
          <w:caps w:val="0"/>
          <w:color w:val="333333"/>
          <w:spacing w:val="0"/>
          <w:kern w:val="0"/>
          <w:sz w:val="32"/>
          <w:szCs w:val="32"/>
          <w:shd w:val="clear" w:fill="FFFFFF"/>
          <w:lang w:val="en-US" w:eastAsia="zh-CN" w:bidi="ar"/>
        </w:rPr>
      </w:pPr>
      <w:r>
        <w:rPr>
          <w:rFonts w:hint="eastAsia" w:ascii="黑体" w:hAnsi="黑体" w:eastAsia="黑体" w:cs="黑体"/>
          <w:b w:val="0"/>
          <w:bCs w:val="0"/>
          <w:i w:val="0"/>
          <w:iCs w:val="0"/>
          <w:caps w:val="0"/>
          <w:color w:val="333333"/>
          <w:spacing w:val="0"/>
          <w:kern w:val="0"/>
          <w:sz w:val="32"/>
          <w:szCs w:val="32"/>
          <w:shd w:val="clear" w:fill="FFFFFF"/>
          <w:lang w:val="en-US" w:eastAsia="zh-CN" w:bidi="ar"/>
        </w:rPr>
        <w:t>五、落实公示制度</w:t>
      </w:r>
    </w:p>
    <w:p w14:paraId="5DF1E7B0">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收费单位应当在收费场所显著位置公示收费项目、收费标准、服务内容和价格投诉电话12315等信息，主动接受入住老年人、委托人和社会监督。</w:t>
      </w:r>
    </w:p>
    <w:p w14:paraId="2BA18BB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640" w:firstLineChars="200"/>
        <w:jc w:val="left"/>
        <w:textAlignment w:val="auto"/>
        <w:rPr>
          <w:rFonts w:hint="eastAsia" w:ascii="黑体" w:hAnsi="黑体" w:eastAsia="黑体" w:cs="黑体"/>
          <w:b w:val="0"/>
          <w:bCs w:val="0"/>
          <w:i w:val="0"/>
          <w:iCs w:val="0"/>
          <w:caps w:val="0"/>
          <w:color w:val="333333"/>
          <w:spacing w:val="0"/>
          <w:kern w:val="0"/>
          <w:sz w:val="32"/>
          <w:szCs w:val="32"/>
          <w:shd w:val="clear" w:fill="FFFFFF"/>
          <w:lang w:val="en-US" w:eastAsia="zh-CN" w:bidi="ar"/>
        </w:rPr>
      </w:pPr>
      <w:r>
        <w:rPr>
          <w:rFonts w:hint="eastAsia" w:ascii="黑体" w:hAnsi="黑体" w:eastAsia="黑体" w:cs="黑体"/>
          <w:b w:val="0"/>
          <w:bCs w:val="0"/>
          <w:i w:val="0"/>
          <w:iCs w:val="0"/>
          <w:caps w:val="0"/>
          <w:color w:val="333333"/>
          <w:spacing w:val="0"/>
          <w:kern w:val="0"/>
          <w:sz w:val="32"/>
          <w:szCs w:val="32"/>
          <w:shd w:val="clear" w:fill="FFFFFF"/>
          <w:lang w:val="en-US" w:eastAsia="zh-CN" w:bidi="ar"/>
        </w:rPr>
        <w:t>六、执行时间</w:t>
      </w:r>
    </w:p>
    <w:p w14:paraId="4073091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4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本收费标准，拟自下文之日起执行，试行二年，期满后重新制定正式收费标准。试行期间如上级有新的规定，按上级规定执行。</w:t>
      </w:r>
    </w:p>
    <w:p w14:paraId="6D1AC6E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40"/>
        <w:jc w:val="both"/>
        <w:textAlignment w:val="auto"/>
        <w:rPr>
          <w:rFonts w:hint="eastAsia" w:ascii="仿宋_GB2312" w:hAnsi="仿宋_GB2312" w:eastAsia="仿宋_GB2312" w:cs="仿宋_GB2312"/>
          <w:sz w:val="32"/>
          <w:szCs w:val="32"/>
          <w:lang w:val="en-US" w:eastAsia="zh-CN"/>
        </w:rPr>
      </w:pPr>
    </w:p>
    <w:p w14:paraId="095E9C8F">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仿宋_GB2312" w:hAnsi="仿宋_GB2312" w:eastAsia="仿宋_GB2312" w:cs="仿宋_GB2312"/>
          <w:sz w:val="32"/>
          <w:szCs w:val="32"/>
          <w:lang w:val="en-US" w:eastAsia="zh-CN"/>
        </w:rPr>
      </w:pPr>
    </w:p>
    <w:p w14:paraId="79C4C4F4">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仿宋_GB2312" w:hAnsi="仿宋_GB2312" w:eastAsia="仿宋_GB2312" w:cs="仿宋_GB2312"/>
          <w:sz w:val="32"/>
          <w:szCs w:val="32"/>
          <w:lang w:val="en-US" w:eastAsia="zh-CN"/>
        </w:rPr>
      </w:pPr>
      <w:bookmarkStart w:id="0" w:name="_GoBack"/>
      <w:bookmarkEnd w:id="0"/>
    </w:p>
    <w:p w14:paraId="19982C62">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仿宋_GB2312" w:hAnsi="仿宋_GB2312" w:eastAsia="仿宋_GB2312" w:cs="仿宋_GB2312"/>
          <w:sz w:val="32"/>
          <w:szCs w:val="32"/>
          <w:lang w:val="en-US" w:eastAsia="zh-CN"/>
        </w:rPr>
      </w:pPr>
    </w:p>
    <w:p w14:paraId="4BD36D3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3843" w:firstLineChars="1201"/>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上犹县发展和改革委员会</w:t>
      </w:r>
    </w:p>
    <w:p w14:paraId="21B3F31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483" w:firstLineChars="1401"/>
        <w:jc w:val="lef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yMGRiN2I4OWUxMzVhYWNmMzI1ZDkzYjA3ZWEwMzEifQ=="/>
  </w:docVars>
  <w:rsids>
    <w:rsidRoot w:val="00000000"/>
    <w:rsid w:val="000F0983"/>
    <w:rsid w:val="0094108D"/>
    <w:rsid w:val="01000C74"/>
    <w:rsid w:val="0164194E"/>
    <w:rsid w:val="0213280E"/>
    <w:rsid w:val="025B0D98"/>
    <w:rsid w:val="03CC315E"/>
    <w:rsid w:val="044B5AAE"/>
    <w:rsid w:val="05404C1F"/>
    <w:rsid w:val="056A57F8"/>
    <w:rsid w:val="07436B7A"/>
    <w:rsid w:val="07702E6D"/>
    <w:rsid w:val="08001B45"/>
    <w:rsid w:val="0857336D"/>
    <w:rsid w:val="0878022B"/>
    <w:rsid w:val="0B0F0BD5"/>
    <w:rsid w:val="0DB138D7"/>
    <w:rsid w:val="0EBF2268"/>
    <w:rsid w:val="0F0A045B"/>
    <w:rsid w:val="0F3B4E50"/>
    <w:rsid w:val="0F437CE3"/>
    <w:rsid w:val="0F5815C6"/>
    <w:rsid w:val="0FAD1102"/>
    <w:rsid w:val="109E251C"/>
    <w:rsid w:val="10CE5D66"/>
    <w:rsid w:val="112076B2"/>
    <w:rsid w:val="116E1B77"/>
    <w:rsid w:val="12395348"/>
    <w:rsid w:val="12D04E67"/>
    <w:rsid w:val="13021765"/>
    <w:rsid w:val="130A5001"/>
    <w:rsid w:val="13CA71D9"/>
    <w:rsid w:val="13F82AB8"/>
    <w:rsid w:val="147026FF"/>
    <w:rsid w:val="148D47B9"/>
    <w:rsid w:val="15332F03"/>
    <w:rsid w:val="162D13BB"/>
    <w:rsid w:val="1674297A"/>
    <w:rsid w:val="16B72867"/>
    <w:rsid w:val="16D74CB7"/>
    <w:rsid w:val="17427E0B"/>
    <w:rsid w:val="17783A22"/>
    <w:rsid w:val="17942BA8"/>
    <w:rsid w:val="17DD4930"/>
    <w:rsid w:val="18422604"/>
    <w:rsid w:val="18A1537D"/>
    <w:rsid w:val="18BA122C"/>
    <w:rsid w:val="191F0647"/>
    <w:rsid w:val="19D0740C"/>
    <w:rsid w:val="1A3639AD"/>
    <w:rsid w:val="1A903AFB"/>
    <w:rsid w:val="1ACC4407"/>
    <w:rsid w:val="1BE91714"/>
    <w:rsid w:val="1C2C326C"/>
    <w:rsid w:val="1C502416"/>
    <w:rsid w:val="1D097B94"/>
    <w:rsid w:val="1D8D60CF"/>
    <w:rsid w:val="1DCA41DB"/>
    <w:rsid w:val="1DF311A3"/>
    <w:rsid w:val="1ED02EE2"/>
    <w:rsid w:val="1F083178"/>
    <w:rsid w:val="1F6A6B46"/>
    <w:rsid w:val="202A53EE"/>
    <w:rsid w:val="21403F17"/>
    <w:rsid w:val="2210107D"/>
    <w:rsid w:val="23675615"/>
    <w:rsid w:val="23953F30"/>
    <w:rsid w:val="23BC326A"/>
    <w:rsid w:val="243F5C4A"/>
    <w:rsid w:val="24AA7567"/>
    <w:rsid w:val="270C275B"/>
    <w:rsid w:val="273F6164"/>
    <w:rsid w:val="2A2B2EF8"/>
    <w:rsid w:val="2AB37608"/>
    <w:rsid w:val="2BAF69E8"/>
    <w:rsid w:val="2D0728A0"/>
    <w:rsid w:val="2D9D1FA4"/>
    <w:rsid w:val="2E3D31FA"/>
    <w:rsid w:val="2E3D3E8D"/>
    <w:rsid w:val="2E861327"/>
    <w:rsid w:val="2F041F69"/>
    <w:rsid w:val="2F332B3D"/>
    <w:rsid w:val="2FA71273"/>
    <w:rsid w:val="307551E0"/>
    <w:rsid w:val="308C66BA"/>
    <w:rsid w:val="312132A7"/>
    <w:rsid w:val="31901DBB"/>
    <w:rsid w:val="31F938DC"/>
    <w:rsid w:val="334700E7"/>
    <w:rsid w:val="33482D6D"/>
    <w:rsid w:val="33B6209C"/>
    <w:rsid w:val="33DC5263"/>
    <w:rsid w:val="3465020F"/>
    <w:rsid w:val="35DE1766"/>
    <w:rsid w:val="36FD79CA"/>
    <w:rsid w:val="3788109B"/>
    <w:rsid w:val="37E335F2"/>
    <w:rsid w:val="38CE5AC2"/>
    <w:rsid w:val="38FC65C0"/>
    <w:rsid w:val="39113C01"/>
    <w:rsid w:val="395B660F"/>
    <w:rsid w:val="39783E5D"/>
    <w:rsid w:val="3A5C2931"/>
    <w:rsid w:val="3C246E37"/>
    <w:rsid w:val="3C37572C"/>
    <w:rsid w:val="3D3F4185"/>
    <w:rsid w:val="3DAB4624"/>
    <w:rsid w:val="3DC00139"/>
    <w:rsid w:val="3DDD2BB0"/>
    <w:rsid w:val="3E9658B3"/>
    <w:rsid w:val="3F0D09C6"/>
    <w:rsid w:val="3F890995"/>
    <w:rsid w:val="3FB30AE9"/>
    <w:rsid w:val="41062D6A"/>
    <w:rsid w:val="416055A4"/>
    <w:rsid w:val="420C3C23"/>
    <w:rsid w:val="42461C3A"/>
    <w:rsid w:val="42562684"/>
    <w:rsid w:val="42586852"/>
    <w:rsid w:val="429513FF"/>
    <w:rsid w:val="42A47894"/>
    <w:rsid w:val="43707776"/>
    <w:rsid w:val="445C6678"/>
    <w:rsid w:val="449F6565"/>
    <w:rsid w:val="44E4470A"/>
    <w:rsid w:val="46641814"/>
    <w:rsid w:val="4692365B"/>
    <w:rsid w:val="46C16C66"/>
    <w:rsid w:val="47A112C4"/>
    <w:rsid w:val="48126CB6"/>
    <w:rsid w:val="48DF33D4"/>
    <w:rsid w:val="491F7D5B"/>
    <w:rsid w:val="493A2D00"/>
    <w:rsid w:val="49417BEA"/>
    <w:rsid w:val="498016EA"/>
    <w:rsid w:val="4A003601"/>
    <w:rsid w:val="4A547DF1"/>
    <w:rsid w:val="4AA854B0"/>
    <w:rsid w:val="4AD141C4"/>
    <w:rsid w:val="4AD46071"/>
    <w:rsid w:val="4AF13892"/>
    <w:rsid w:val="4AF22FD6"/>
    <w:rsid w:val="4BD34F1F"/>
    <w:rsid w:val="4C6C1422"/>
    <w:rsid w:val="4C8E75EA"/>
    <w:rsid w:val="4CCB6C1A"/>
    <w:rsid w:val="4CE243B7"/>
    <w:rsid w:val="4D720523"/>
    <w:rsid w:val="4ECC61A8"/>
    <w:rsid w:val="4FCC67D4"/>
    <w:rsid w:val="50947199"/>
    <w:rsid w:val="50C0528B"/>
    <w:rsid w:val="515818C2"/>
    <w:rsid w:val="517D05F9"/>
    <w:rsid w:val="522B768A"/>
    <w:rsid w:val="522F07C9"/>
    <w:rsid w:val="530837F2"/>
    <w:rsid w:val="53373E0C"/>
    <w:rsid w:val="538B3563"/>
    <w:rsid w:val="539B25ED"/>
    <w:rsid w:val="546B0408"/>
    <w:rsid w:val="55D122F6"/>
    <w:rsid w:val="567333AD"/>
    <w:rsid w:val="56910926"/>
    <w:rsid w:val="56E2634F"/>
    <w:rsid w:val="586040FA"/>
    <w:rsid w:val="59705BFB"/>
    <w:rsid w:val="5A7723FC"/>
    <w:rsid w:val="5B686281"/>
    <w:rsid w:val="5B6D6F97"/>
    <w:rsid w:val="5C186ED1"/>
    <w:rsid w:val="5D2C42B6"/>
    <w:rsid w:val="5D841D39"/>
    <w:rsid w:val="5DEC1E56"/>
    <w:rsid w:val="615838CB"/>
    <w:rsid w:val="618172C6"/>
    <w:rsid w:val="619F774C"/>
    <w:rsid w:val="61A47EF7"/>
    <w:rsid w:val="61B72CE8"/>
    <w:rsid w:val="62D17DD9"/>
    <w:rsid w:val="630D14FC"/>
    <w:rsid w:val="64025D70"/>
    <w:rsid w:val="64594B06"/>
    <w:rsid w:val="64594E8B"/>
    <w:rsid w:val="64B30844"/>
    <w:rsid w:val="651915C4"/>
    <w:rsid w:val="65DB7500"/>
    <w:rsid w:val="664133F1"/>
    <w:rsid w:val="683E1A6D"/>
    <w:rsid w:val="686E53A0"/>
    <w:rsid w:val="688318B5"/>
    <w:rsid w:val="68D93544"/>
    <w:rsid w:val="68F44821"/>
    <w:rsid w:val="69D31FC5"/>
    <w:rsid w:val="69E00902"/>
    <w:rsid w:val="6A19059E"/>
    <w:rsid w:val="6A1F178B"/>
    <w:rsid w:val="6A201DCA"/>
    <w:rsid w:val="6D1A412B"/>
    <w:rsid w:val="6D57207B"/>
    <w:rsid w:val="6DA46816"/>
    <w:rsid w:val="6DEA1B38"/>
    <w:rsid w:val="6E0A5776"/>
    <w:rsid w:val="6F616041"/>
    <w:rsid w:val="6FA0237A"/>
    <w:rsid w:val="708D2C7B"/>
    <w:rsid w:val="712B2DAA"/>
    <w:rsid w:val="716A5491"/>
    <w:rsid w:val="71997D14"/>
    <w:rsid w:val="71C87E26"/>
    <w:rsid w:val="732D6E41"/>
    <w:rsid w:val="73F9284B"/>
    <w:rsid w:val="746A4DA8"/>
    <w:rsid w:val="754B7577"/>
    <w:rsid w:val="7690338E"/>
    <w:rsid w:val="773E5216"/>
    <w:rsid w:val="78397B5B"/>
    <w:rsid w:val="78BB4FDB"/>
    <w:rsid w:val="79AE6586"/>
    <w:rsid w:val="7AED182A"/>
    <w:rsid w:val="7B6A5A89"/>
    <w:rsid w:val="7C3614E6"/>
    <w:rsid w:val="7CA26617"/>
    <w:rsid w:val="7CDE33C7"/>
    <w:rsid w:val="7CDE5175"/>
    <w:rsid w:val="7D7D04EA"/>
    <w:rsid w:val="7DAD22A2"/>
    <w:rsid w:val="7DAE2D99"/>
    <w:rsid w:val="7E355268"/>
    <w:rsid w:val="7E5933CB"/>
    <w:rsid w:val="7E9B156F"/>
    <w:rsid w:val="7FC56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unhideWhenUsed/>
    <w:qFormat/>
    <w:uiPriority w:val="0"/>
    <w:pPr>
      <w:ind w:firstLine="420" w:firstLineChars="200"/>
    </w:pPr>
  </w:style>
  <w:style w:type="paragraph" w:styleId="3">
    <w:name w:val="caption"/>
    <w:basedOn w:val="1"/>
    <w:next w:val="1"/>
    <w:unhideWhenUsed/>
    <w:qFormat/>
    <w:uiPriority w:val="0"/>
    <w:pPr>
      <w:adjustRightInd w:val="0"/>
      <w:ind w:firstLine="880" w:firstLineChars="200"/>
    </w:pPr>
    <w:rPr>
      <w:rFonts w:ascii="Cambria" w:hAnsi="Cambria" w:eastAsia="仿宋_GB2312"/>
      <w:sz w:val="32"/>
    </w:rPr>
  </w:style>
  <w:style w:type="paragraph" w:styleId="4">
    <w:name w:val="Body Text"/>
    <w:basedOn w:val="1"/>
    <w:autoRedefine/>
    <w:qFormat/>
    <w:uiPriority w:val="0"/>
    <w:pPr>
      <w:spacing w:after="120"/>
    </w:pPr>
    <w:rPr>
      <w:rFonts w:eastAsia="Times New Roman"/>
      <w:kern w:val="0"/>
      <w:sz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toc 1"/>
    <w:basedOn w:val="1"/>
    <w:next w:val="1"/>
    <w:qFormat/>
    <w:uiPriority w:val="0"/>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9">
    <w:name w:val="Body Text First Indent 2"/>
    <w:basedOn w:val="5"/>
    <w:qFormat/>
    <w:uiPriority w:val="0"/>
    <w:pPr>
      <w:ind w:firstLine="420" w:firstLineChars="20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1257</Words>
  <Characters>1348</Characters>
  <Lines>0</Lines>
  <Paragraphs>0</Paragraphs>
  <TotalTime>4</TotalTime>
  <ScaleCrop>false</ScaleCrop>
  <LinksUpToDate>false</LinksUpToDate>
  <CharactersWithSpaces>1352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La culpa</cp:lastModifiedBy>
  <cp:lastPrinted>2025-07-22T02:33:00Z</cp:lastPrinted>
  <dcterms:modified xsi:type="dcterms:W3CDTF">2025-09-01T01:30:43Z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FFF7DE5114B24854909706DB91B3A5D4</vt:lpwstr>
  </property>
  <property fmtid="{D5CDD505-2E9C-101B-9397-08002B2CF9AE}" pid="4" name="KSOTemplateDocerSaveRecord">
    <vt:lpwstr>eyJoZGlkIjoiOTVkMDdhODhlNzQ2NGM4NjEzNGQyMDEwNGFmZTYyMTEiLCJ1c2VySWQiOiI0NDcxNjAyMTgifQ==</vt:lpwstr>
  </property>
</Properties>
</file>