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仿宋" w:eastAsia="方正小标宋简体" w:cs="仿宋"/>
          <w:b w:val="0"/>
          <w:bCs w:val="0"/>
          <w:sz w:val="44"/>
          <w:szCs w:val="44"/>
        </w:rPr>
      </w:pPr>
      <w:r>
        <w:rPr>
          <w:rFonts w:hint="eastAsia" w:ascii="方正小标宋简体" w:hAnsi="仿宋" w:eastAsia="方正小标宋简体" w:cs="仿宋"/>
          <w:b w:val="0"/>
          <w:bCs w:val="0"/>
          <w:sz w:val="44"/>
          <w:szCs w:val="44"/>
        </w:rPr>
        <w:t>关于</w:t>
      </w: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江西尤美科技有限公司年产</w:t>
      </w: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500万件精密通讯零件</w:t>
      </w: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项目</w:t>
      </w: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环境影响报告表</w:t>
      </w:r>
      <w:r>
        <w:rPr>
          <w:rFonts w:hint="eastAsia" w:ascii="方正小标宋简体" w:hAnsi="仿宋" w:eastAsia="方正小标宋简体" w:cs="仿宋"/>
          <w:b w:val="0"/>
          <w:bCs w:val="0"/>
          <w:sz w:val="44"/>
          <w:szCs w:val="44"/>
        </w:rPr>
        <w:t>的批复</w:t>
      </w:r>
    </w:p>
    <w:p>
      <w:pPr>
        <w:spacing w:line="560" w:lineRule="exact"/>
        <w:ind w:firstLine="1280" w:firstLineChars="400"/>
        <w:rPr>
          <w:rFonts w:ascii="仿宋_GB2312" w:hAnsi="仿宋" w:eastAsia="仿宋_GB2312" w:cs="仿宋"/>
          <w:sz w:val="32"/>
          <w:szCs w:val="32"/>
        </w:rPr>
      </w:pPr>
    </w:p>
    <w:p>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Cs/>
          <w:color w:val="000000"/>
          <w:sz w:val="32"/>
          <w:szCs w:val="32"/>
          <w:lang w:eastAsia="zh-CN"/>
        </w:rPr>
        <w:t>江西尤美科技有限公司</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你</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kern w:val="0"/>
          <w:sz w:val="32"/>
          <w:szCs w:val="32"/>
        </w:rPr>
        <w:t>《</w:t>
      </w:r>
      <w:bookmarkStart w:id="0" w:name="OLE_LINK1"/>
      <w:r>
        <w:rPr>
          <w:rFonts w:hint="eastAsia" w:ascii="仿宋_GB2312" w:hAnsi="仿宋_GB2312" w:eastAsia="仿宋_GB2312" w:cs="仿宋_GB2312"/>
          <w:i w:val="0"/>
          <w:iCs w:val="0"/>
          <w:caps w:val="0"/>
          <w:color w:val="000000" w:themeColor="text1"/>
          <w:spacing w:val="0"/>
          <w:sz w:val="32"/>
          <w:szCs w:val="32"/>
          <w:shd w:val="clear" w:fill="FFFFFF"/>
          <w:vertAlign w:val="baseline"/>
          <w:lang w:eastAsia="zh-CN"/>
          <w14:textFill>
            <w14:solidFill>
              <w14:schemeClr w14:val="tx1"/>
            </w14:solidFill>
          </w14:textFill>
        </w:rPr>
        <w:t>江西尤美科技有限公司年产</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500万件精密通讯零件</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eastAsia="zh-CN"/>
          <w14:textFill>
            <w14:solidFill>
              <w14:schemeClr w14:val="tx1"/>
            </w14:solidFill>
          </w14:textFill>
        </w:rPr>
        <w:t>项目</w:t>
      </w:r>
      <w:bookmarkEnd w:id="0"/>
      <w:r>
        <w:rPr>
          <w:rFonts w:hint="eastAsia" w:ascii="仿宋_GB2312" w:hAnsi="仿宋_GB2312" w:eastAsia="仿宋_GB2312" w:cs="仿宋_GB2312"/>
          <w:kern w:val="0"/>
          <w:sz w:val="32"/>
          <w:szCs w:val="32"/>
        </w:rPr>
        <w:t>环境影响报告表》环评文件及审查申请等有关文件收悉，环</w:t>
      </w:r>
      <w:r>
        <w:rPr>
          <w:rFonts w:hint="eastAsia" w:ascii="仿宋_GB2312" w:hAnsi="仿宋_GB2312" w:eastAsia="仿宋_GB2312" w:cs="仿宋_GB2312"/>
          <w:sz w:val="32"/>
          <w:szCs w:val="32"/>
        </w:rPr>
        <w:t>境影响报告表由</w:t>
      </w:r>
      <w:r>
        <w:rPr>
          <w:rFonts w:hint="eastAsia" w:ascii="仿宋_GB2312" w:hAnsi="仿宋_GB2312" w:eastAsia="仿宋_GB2312" w:cs="仿宋_GB2312"/>
          <w:bCs/>
          <w:color w:val="000000"/>
          <w:sz w:val="32"/>
          <w:szCs w:val="32"/>
          <w:lang w:val="en-US" w:eastAsia="zh-CN"/>
        </w:rPr>
        <w:t>江西源源环保科技有限公司</w:t>
      </w:r>
      <w:r>
        <w:rPr>
          <w:rFonts w:hint="eastAsia" w:ascii="仿宋_GB2312" w:hAnsi="仿宋_GB2312" w:eastAsia="仿宋_GB2312" w:cs="仿宋_GB2312"/>
          <w:sz w:val="32"/>
          <w:szCs w:val="32"/>
        </w:rPr>
        <w:t>编制。</w:t>
      </w:r>
      <w:r>
        <w:rPr>
          <w:rFonts w:hint="eastAsia" w:ascii="仿宋_GB2312" w:hAnsi="仿宋_GB2312" w:eastAsia="仿宋_GB2312" w:cs="仿宋_GB2312"/>
          <w:kern w:val="0"/>
          <w:sz w:val="32"/>
          <w:szCs w:val="32"/>
        </w:rPr>
        <w:t>根据技术评估会专家组意见及技术评估公司的评估意见，经研究，批</w:t>
      </w:r>
      <w:r>
        <w:rPr>
          <w:rFonts w:hint="eastAsia" w:ascii="仿宋_GB2312" w:hAnsi="仿宋_GB2312" w:eastAsia="仿宋_GB2312" w:cs="仿宋_GB2312"/>
          <w:sz w:val="32"/>
          <w:szCs w:val="32"/>
        </w:rPr>
        <w:t>复如下：</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一、项目概况及批复意见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lang w:eastAsia="zh-CN"/>
          <w14:textFill>
            <w14:solidFill>
              <w14:schemeClr w14:val="tx1"/>
            </w14:solidFill>
          </w14:textFill>
        </w:rPr>
        <w:t>江西尤美科技有限公司年产</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500万件精密通讯零件</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eastAsia="zh-CN"/>
          <w14:textFill>
            <w14:solidFill>
              <w14:schemeClr w14:val="tx1"/>
            </w14:solidFill>
          </w14:textFill>
        </w:rPr>
        <w:t>项目</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（项目代码：</w:t>
      </w:r>
      <w:r>
        <w:rPr>
          <w:rFonts w:hint="eastAsia" w:ascii="仿宋_GB2312" w:hAnsi="仿宋_GB2312" w:eastAsia="仿宋_GB2312" w:cs="仿宋_GB2312"/>
          <w:bCs/>
          <w:color w:val="000000"/>
          <w:sz w:val="32"/>
          <w:szCs w:val="32"/>
          <w:lang w:eastAsia="zh-CN"/>
        </w:rPr>
        <w:t>2</w:t>
      </w:r>
      <w:r>
        <w:rPr>
          <w:rFonts w:hint="eastAsia" w:ascii="仿宋_GB2312" w:hAnsi="仿宋_GB2312" w:eastAsia="仿宋_GB2312" w:cs="仿宋_GB2312"/>
          <w:bCs/>
          <w:color w:val="000000"/>
          <w:sz w:val="32"/>
          <w:szCs w:val="32"/>
          <w:lang w:val="en-US" w:eastAsia="zh-CN"/>
        </w:rPr>
        <w:t>202</w:t>
      </w:r>
      <w:r>
        <w:rPr>
          <w:rFonts w:hint="eastAsia" w:ascii="仿宋_GB2312" w:hAnsi="仿宋_GB2312" w:eastAsia="仿宋_GB2312" w:cs="仿宋_GB2312"/>
          <w:bCs/>
          <w:color w:val="000000"/>
          <w:sz w:val="32"/>
          <w:szCs w:val="32"/>
          <w:lang w:eastAsia="zh-CN"/>
        </w:rPr>
        <w:t>-360724-04-0</w:t>
      </w:r>
      <w:r>
        <w:rPr>
          <w:rFonts w:hint="eastAsia" w:ascii="仿宋_GB2312" w:hAnsi="仿宋_GB2312" w:eastAsia="仿宋_GB2312" w:cs="仿宋_GB2312"/>
          <w:bCs/>
          <w:color w:val="000000"/>
          <w:sz w:val="32"/>
          <w:szCs w:val="32"/>
          <w:lang w:val="en-US" w:eastAsia="zh-CN"/>
        </w:rPr>
        <w:t>1</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175515</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）为</w:t>
      </w:r>
      <w:r>
        <w:rPr>
          <w:rFonts w:hint="eastAsia" w:ascii="仿宋_GB2312" w:hAnsi="仿宋_GB2312" w:eastAsia="仿宋_GB2312" w:cs="仿宋_GB2312"/>
          <w:bCs/>
          <w:color w:val="000000"/>
          <w:sz w:val="32"/>
          <w:szCs w:val="32"/>
          <w:lang w:eastAsia="zh-CN"/>
        </w:rPr>
        <w:t>江西尤美科技有限公司</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新建项目，建设项目行业类别为</w:t>
      </w:r>
      <w:r>
        <w:rPr>
          <w:rFonts w:hint="eastAsia" w:ascii="仿宋_GB2312" w:hAnsi="仿宋_GB2312" w:eastAsia="仿宋_GB2312" w:cs="仿宋_GB2312"/>
          <w:bCs/>
          <w:color w:val="000000"/>
          <w:sz w:val="32"/>
          <w:szCs w:val="32"/>
          <w:lang w:eastAsia="zh-CN"/>
        </w:rPr>
        <w:t>铸造及其他金属制品制造</w:t>
      </w:r>
      <w:r>
        <w:rPr>
          <w:rFonts w:hint="eastAsia" w:ascii="仿宋_GB2312" w:hAnsi="仿宋_GB2312" w:eastAsia="仿宋_GB2312" w:cs="仿宋_GB2312"/>
          <w:bCs/>
          <w:color w:val="000000"/>
          <w:sz w:val="32"/>
          <w:szCs w:val="32"/>
          <w:lang w:val="en-US" w:eastAsia="zh-CN"/>
        </w:rPr>
        <w:t>339和通用零部件制造348</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。项目位于</w:t>
      </w:r>
      <w:r>
        <w:rPr>
          <w:rFonts w:hint="eastAsia" w:ascii="仿宋_GB2312" w:hAnsi="仿宋_GB2312" w:eastAsia="仿宋_GB2312" w:cs="仿宋_GB2312"/>
          <w:bCs/>
          <w:color w:val="000000"/>
          <w:sz w:val="32"/>
          <w:szCs w:val="32"/>
          <w:lang w:eastAsia="zh-CN"/>
        </w:rPr>
        <w:t>江西上犹工业园北区</w:t>
      </w:r>
      <w:r>
        <w:rPr>
          <w:rFonts w:hint="eastAsia" w:ascii="仿宋_GB2312" w:hAnsi="仿宋_GB2312" w:eastAsia="仿宋_GB2312" w:cs="仿宋_GB2312"/>
          <w:bCs/>
          <w:color w:val="000000"/>
          <w:sz w:val="32"/>
          <w:szCs w:val="32"/>
          <w:lang w:val="en-US" w:eastAsia="zh-CN"/>
        </w:rPr>
        <w:t>G6宗地</w:t>
      </w:r>
      <w:r>
        <w:rPr>
          <w:rFonts w:hint="eastAsia" w:ascii="仿宋_GB2312" w:hAnsi="仿宋_GB2312" w:eastAsia="仿宋_GB2312" w:cs="仿宋_GB2312"/>
          <w:bCs/>
          <w:color w:val="000000" w:themeColor="text1"/>
          <w:sz w:val="32"/>
          <w:szCs w:val="32"/>
          <w14:textFill>
            <w14:solidFill>
              <w14:schemeClr w14:val="tx1"/>
            </w14:solidFill>
          </w14:textFill>
        </w:rPr>
        <w:t>，</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中心</w:t>
      </w:r>
      <w:r>
        <w:rPr>
          <w:rFonts w:hint="eastAsia" w:ascii="仿宋_GB2312" w:hAnsi="仿宋_GB2312" w:eastAsia="仿宋_GB2312" w:cs="仿宋_GB2312"/>
          <w:bCs/>
          <w:color w:val="000000" w:themeColor="text1"/>
          <w:sz w:val="32"/>
          <w:szCs w:val="32"/>
          <w14:textFill>
            <w14:solidFill>
              <w14:schemeClr w14:val="tx1"/>
            </w14:solidFill>
          </w14:textFill>
        </w:rPr>
        <w:t>地理坐标为</w:t>
      </w:r>
      <w:r>
        <w:rPr>
          <w:rFonts w:hint="eastAsia" w:ascii="仿宋_GB2312" w:hAnsi="仿宋_GB2312" w:eastAsia="仿宋_GB2312" w:cs="仿宋_GB2312"/>
          <w:bCs/>
          <w:color w:val="000000"/>
          <w:sz w:val="32"/>
          <w:szCs w:val="32"/>
        </w:rPr>
        <w:t>东经114°3</w:t>
      </w:r>
      <w:r>
        <w:rPr>
          <w:rFonts w:hint="eastAsia" w:ascii="仿宋_GB2312" w:hAnsi="仿宋_GB2312" w:eastAsia="仿宋_GB2312" w:cs="仿宋_GB2312"/>
          <w:bCs/>
          <w:color w:val="000000"/>
          <w:sz w:val="32"/>
          <w:szCs w:val="32"/>
          <w:lang w:val="en-US" w:eastAsia="zh-CN"/>
        </w:rPr>
        <w:t>3</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45</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411</w:t>
      </w:r>
      <w:r>
        <w:rPr>
          <w:rFonts w:hint="eastAsia" w:ascii="仿宋_GB2312" w:hAnsi="仿宋_GB2312" w:eastAsia="仿宋_GB2312" w:cs="仿宋_GB2312"/>
          <w:bCs/>
          <w:color w:val="000000"/>
          <w:sz w:val="32"/>
          <w:szCs w:val="32"/>
        </w:rPr>
        <w:t>″，北纬25°4</w:t>
      </w:r>
      <w:r>
        <w:rPr>
          <w:rFonts w:hint="eastAsia" w:ascii="仿宋_GB2312" w:hAnsi="仿宋_GB2312" w:eastAsia="仿宋_GB2312" w:cs="仿宋_GB2312"/>
          <w:bCs/>
          <w:color w:val="000000"/>
          <w:sz w:val="32"/>
          <w:szCs w:val="32"/>
          <w:lang w:val="en-US" w:eastAsia="zh-CN"/>
        </w:rPr>
        <w:t>6</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9</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784</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w:t>
      </w:r>
      <w:r>
        <w:rPr>
          <w:rFonts w:hint="eastAsia" w:ascii="仿宋_GB2312" w:hAnsi="仿宋_GB2312" w:eastAsia="仿宋_GB2312" w:cs="仿宋_GB2312"/>
          <w:bCs/>
          <w:color w:val="000000"/>
          <w:sz w:val="32"/>
          <w:szCs w:val="32"/>
        </w:rPr>
        <w:t>总用地面积</w:t>
      </w:r>
      <w:r>
        <w:rPr>
          <w:rFonts w:hint="eastAsia" w:ascii="仿宋_GB2312" w:hAnsi="仿宋_GB2312" w:eastAsia="仿宋_GB2312" w:cs="仿宋_GB2312"/>
          <w:bCs/>
          <w:color w:val="000000"/>
          <w:sz w:val="32"/>
          <w:szCs w:val="32"/>
          <w:lang w:val="en-US" w:eastAsia="zh-CN"/>
        </w:rPr>
        <w:t>25719.52m</w:t>
      </w:r>
      <w:r>
        <w:rPr>
          <w:rFonts w:hint="eastAsia" w:ascii="仿宋_GB2312" w:hAnsi="仿宋_GB2312" w:eastAsia="仿宋_GB2312" w:cs="仿宋_GB2312"/>
          <w:bCs/>
          <w:color w:val="000000"/>
          <w:sz w:val="32"/>
          <w:szCs w:val="32"/>
          <w:vertAlign w:val="superscript"/>
          <w:lang w:val="en-US" w:eastAsia="zh-CN"/>
        </w:rPr>
        <w:t>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bCs/>
          <w:color w:val="000000" w:themeColor="text1"/>
          <w:sz w:val="32"/>
          <w:szCs w:val="32"/>
          <w14:textFill>
            <w14:solidFill>
              <w14:schemeClr w14:val="tx1"/>
            </w14:solidFill>
          </w14:textFill>
        </w:rPr>
        <w:t>总投资</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18000万</w:t>
      </w:r>
      <w:r>
        <w:rPr>
          <w:rFonts w:hint="eastAsia" w:ascii="仿宋_GB2312" w:hAnsi="仿宋_GB2312" w:eastAsia="仿宋_GB2312" w:cs="仿宋_GB2312"/>
          <w:bCs/>
          <w:color w:val="000000" w:themeColor="text1"/>
          <w:sz w:val="32"/>
          <w:szCs w:val="32"/>
          <w14:textFill>
            <w14:solidFill>
              <w14:schemeClr w14:val="tx1"/>
            </w14:solidFill>
          </w14:textFill>
        </w:rPr>
        <w:t>元</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Cs/>
          <w:color w:val="000000" w:themeColor="text1"/>
          <w:sz w:val="32"/>
          <w:szCs w:val="32"/>
          <w14:textFill>
            <w14:solidFill>
              <w14:schemeClr w14:val="tx1"/>
            </w14:solidFill>
          </w14:textFill>
        </w:rPr>
        <w:t>其中环保投资</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50</w:t>
      </w:r>
      <w:r>
        <w:rPr>
          <w:rFonts w:hint="eastAsia" w:ascii="仿宋_GB2312" w:hAnsi="仿宋_GB2312" w:eastAsia="仿宋_GB2312" w:cs="仿宋_GB2312"/>
          <w:bCs/>
          <w:color w:val="000000" w:themeColor="text1"/>
          <w:sz w:val="32"/>
          <w:szCs w:val="32"/>
          <w14:textFill>
            <w14:solidFill>
              <w14:schemeClr w14:val="tx1"/>
            </w14:solidFill>
          </w14:textFill>
        </w:rPr>
        <w:t>万元，占</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总投资的</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0.28</w:t>
      </w:r>
      <w:r>
        <w:rPr>
          <w:rFonts w:hint="eastAsia" w:ascii="仿宋_GB2312" w:hAnsi="仿宋_GB2312" w:eastAsia="仿宋_GB2312" w:cs="仿宋_GB2312"/>
          <w:bCs/>
          <w:color w:val="000000" w:themeColor="text1"/>
          <w:sz w:val="32"/>
          <w:szCs w:val="32"/>
          <w14:textFill>
            <w14:solidFill>
              <w14:schemeClr w14:val="tx1"/>
            </w14:solidFill>
          </w14:textFill>
        </w:rPr>
        <w:t>%</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Cs/>
          <w:color w:val="000000"/>
          <w:sz w:val="32"/>
          <w:szCs w:val="32"/>
          <w:lang w:eastAsia="zh-CN"/>
        </w:rPr>
        <w:t>项目用水量</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为</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3618.54</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m</w:t>
      </w:r>
      <w:r>
        <w:rPr>
          <w:rFonts w:hint="eastAsia" w:ascii="仿宋_GB2312" w:hAnsi="仿宋_GB2312" w:eastAsia="仿宋_GB2312" w:cs="仿宋_GB2312"/>
          <w:bCs/>
          <w:color w:val="000000" w:themeColor="text1"/>
          <w:sz w:val="32"/>
          <w:szCs w:val="32"/>
          <w:vertAlign w:val="superscript"/>
          <w:lang w:eastAsia="zh-CN"/>
          <w14:textFill>
            <w14:solidFill>
              <w14:schemeClr w14:val="tx1"/>
            </w14:solidFill>
          </w14:textFill>
        </w:rPr>
        <w:t>3</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/a，用电量</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12</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万kW·h</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/a</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，均</w:t>
      </w:r>
      <w:r>
        <w:rPr>
          <w:rFonts w:hint="eastAsia" w:ascii="仿宋_GB2312" w:hAnsi="仿宋_GB2312" w:eastAsia="仿宋_GB2312" w:cs="仿宋_GB2312"/>
          <w:bCs/>
          <w:color w:val="000000" w:themeColor="text1"/>
          <w:sz w:val="32"/>
          <w:szCs w:val="32"/>
          <w14:textFill>
            <w14:solidFill>
              <w14:schemeClr w14:val="tx1"/>
            </w14:solidFill>
          </w14:textFill>
        </w:rPr>
        <w:t>由</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工业</w:t>
      </w:r>
      <w:r>
        <w:rPr>
          <w:rFonts w:hint="eastAsia" w:ascii="仿宋_GB2312" w:hAnsi="仿宋_GB2312" w:eastAsia="仿宋_GB2312" w:cs="仿宋_GB2312"/>
          <w:bCs/>
          <w:color w:val="000000" w:themeColor="text1"/>
          <w:sz w:val="32"/>
          <w:szCs w:val="32"/>
          <w14:textFill>
            <w14:solidFill>
              <w14:schemeClr w14:val="tx1"/>
            </w14:solidFill>
          </w14:textFill>
        </w:rPr>
        <w:t>园区公用工程供应</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。项目建成后可实现</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年产100万件散热片和400万件钢圈</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该项目</w:t>
      </w:r>
      <w:r>
        <w:rPr>
          <w:rFonts w:hint="eastAsia" w:ascii="仿宋_GB2312" w:hAnsi="仿宋_GB2312" w:eastAsia="仿宋_GB2312" w:cs="仿宋_GB2312"/>
          <w:snapToGrid w:val="0"/>
          <w:color w:val="000000" w:themeColor="text1"/>
          <w:sz w:val="32"/>
          <w:szCs w:val="32"/>
          <w:lang w:eastAsia="zh-CN"/>
          <w14:textFill>
            <w14:solidFill>
              <w14:schemeClr w14:val="tx1"/>
            </w14:solidFill>
          </w14:textFill>
        </w:rPr>
        <w:t>主要建设内容为</w:t>
      </w:r>
      <w:r>
        <w:rPr>
          <w:rFonts w:hint="eastAsia" w:ascii="仿宋_GB2312" w:hAnsi="仿宋_GB2312" w:eastAsia="仿宋_GB2312" w:cs="仿宋_GB2312"/>
          <w:snapToGrid w:val="0"/>
          <w:color w:val="000000" w:themeColor="text1"/>
          <w:sz w:val="32"/>
          <w:szCs w:val="32"/>
          <w:lang w:val="en-US" w:eastAsia="zh-CN"/>
          <w14:textFill>
            <w14:solidFill>
              <w14:schemeClr w14:val="tx1"/>
            </w14:solidFill>
          </w14:textFill>
        </w:rPr>
        <w:t>1#厂房2楼、</w:t>
      </w:r>
      <w:r>
        <w:rPr>
          <w:rFonts w:hint="eastAsia" w:ascii="仿宋_GB2312" w:hAnsi="仿宋_GB2312" w:eastAsia="仿宋_GB2312" w:cs="仿宋_GB2312"/>
          <w:snapToGrid w:val="0"/>
          <w:color w:val="000000" w:themeColor="text1"/>
          <w:sz w:val="32"/>
          <w:szCs w:val="32"/>
          <w:lang w:eastAsia="zh-CN"/>
          <w14:textFill>
            <w14:solidFill>
              <w14:schemeClr w14:val="tx1"/>
            </w14:solidFill>
          </w14:textFill>
        </w:rPr>
        <w:t>冲压车间、研磨</w:t>
      </w:r>
      <w:r>
        <w:rPr>
          <w:rFonts w:hint="eastAsia" w:ascii="仿宋_GB2312" w:hAnsi="仿宋_GB2312" w:eastAsia="仿宋_GB2312" w:cs="仿宋_GB2312"/>
          <w:snapToGrid w:val="0"/>
          <w:color w:val="000000" w:themeColor="text1"/>
          <w:sz w:val="32"/>
          <w:szCs w:val="32"/>
          <w:highlight w:val="none"/>
          <w:lang w:eastAsia="zh-CN"/>
          <w14:textFill>
            <w14:solidFill>
              <w14:schemeClr w14:val="tx1"/>
            </w14:solidFill>
          </w14:textFill>
        </w:rPr>
        <w:t>区域等</w:t>
      </w:r>
      <w:r>
        <w:rPr>
          <w:rFonts w:hint="eastAsia" w:ascii="仿宋_GB2312" w:hAnsi="仿宋_GB2312" w:eastAsia="仿宋_GB2312" w:cs="仿宋_GB2312"/>
          <w:snapToGrid w:val="0"/>
          <w:color w:val="000000" w:themeColor="text1"/>
          <w:sz w:val="32"/>
          <w:szCs w:val="32"/>
          <w:lang w:eastAsia="zh-CN"/>
          <w14:textFill>
            <w14:solidFill>
              <w14:schemeClr w14:val="tx1"/>
            </w14:solidFill>
          </w14:textFill>
        </w:rPr>
        <w:t>及相应的配套设施</w:t>
      </w:r>
      <w:r>
        <w:rPr>
          <w:rFonts w:hint="eastAsia" w:ascii="仿宋_GB2312" w:hAnsi="仿宋_GB2312" w:eastAsia="仿宋_GB2312" w:cs="仿宋_GB2312"/>
          <w:bCs/>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购置</w:t>
      </w:r>
      <w:r>
        <w:rPr>
          <w:rFonts w:hint="eastAsia" w:ascii="仿宋_GB2312" w:hAnsi="仿宋_GB2312" w:eastAsia="仿宋_GB2312" w:cs="仿宋_GB2312"/>
          <w:bCs/>
          <w:color w:val="000000" w:themeColor="text1"/>
          <w:sz w:val="32"/>
          <w:szCs w:val="32"/>
          <w:lang w:eastAsia="zh-CN" w:bidi="ar"/>
          <w14:textFill>
            <w14:solidFill>
              <w14:schemeClr w14:val="tx1"/>
            </w14:solidFill>
          </w14:textFill>
        </w:rPr>
        <w:t>熔化炉、压铸机、攻牙机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等设备和</w:t>
      </w:r>
      <w:r>
        <w:rPr>
          <w:rFonts w:hint="eastAsia" w:ascii="仿宋_GB2312" w:hAnsi="仿宋_GB2312" w:eastAsia="仿宋_GB2312" w:cs="仿宋_GB2312"/>
          <w:bCs/>
          <w:color w:val="000000" w:themeColor="text1"/>
          <w:sz w:val="32"/>
          <w:szCs w:val="32"/>
          <w:lang w:eastAsia="zh-CN" w:bidi="ar"/>
          <w14:textFill>
            <w14:solidFill>
              <w14:schemeClr w14:val="tx1"/>
            </w14:solidFill>
          </w14:textFill>
        </w:rPr>
        <w:t>铝锭、切削液、脱模剂</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等原辅料进行生</w:t>
      </w:r>
      <w:r>
        <w:rPr>
          <w:rFonts w:hint="eastAsia" w:ascii="仿宋_GB2312" w:hAnsi="仿宋_GB2312" w:eastAsia="仿宋_GB2312" w:cs="仿宋_GB2312"/>
          <w:bCs/>
          <w:color w:val="000000" w:themeColor="text1"/>
          <w:sz w:val="32"/>
          <w:szCs w:val="32"/>
          <w:lang w:val="en-US" w:eastAsia="zh-CN" w:bidi="ar"/>
          <w14:textFill>
            <w14:solidFill>
              <w14:schemeClr w14:val="tx1"/>
            </w14:solidFill>
          </w14:textFill>
        </w:rPr>
        <w:t>产。</w:t>
      </w:r>
      <w:r>
        <w:rPr>
          <w:rFonts w:hint="eastAsia" w:ascii="仿宋_GB2312" w:hAnsi="仿宋_GB2312" w:eastAsia="仿宋_GB2312" w:cs="仿宋_GB2312"/>
          <w:bCs/>
          <w:color w:val="000000" w:themeColor="text1"/>
          <w:sz w:val="32"/>
          <w:szCs w:val="32"/>
          <w:lang w:eastAsia="zh-CN" w:bidi="ar"/>
          <w14:textFill>
            <w14:solidFill>
              <w14:schemeClr w14:val="tx1"/>
            </w14:solidFill>
          </w14:textFill>
        </w:rPr>
        <w:t>散热片主要工艺为原料、熔化压铸、冲孔、攻牙、</w:t>
      </w:r>
      <w:r>
        <w:rPr>
          <w:rFonts w:hint="eastAsia" w:ascii="仿宋_GB2312" w:hAnsi="仿宋_GB2312" w:eastAsia="仿宋_GB2312" w:cs="仿宋_GB2312"/>
          <w:bCs/>
          <w:color w:val="000000" w:themeColor="text1"/>
          <w:sz w:val="32"/>
          <w:szCs w:val="32"/>
          <w:lang w:val="en-US" w:eastAsia="zh-CN" w:bidi="ar"/>
          <w14:textFill>
            <w14:solidFill>
              <w14:schemeClr w14:val="tx1"/>
            </w14:solidFill>
          </w14:textFill>
        </w:rPr>
        <w:t>数控</w:t>
      </w:r>
      <w:r>
        <w:rPr>
          <w:rFonts w:hint="eastAsia" w:ascii="仿宋_GB2312" w:hAnsi="仿宋_GB2312" w:eastAsia="仿宋_GB2312" w:cs="仿宋_GB2312"/>
          <w:bCs/>
          <w:sz w:val="32"/>
          <w:szCs w:val="32"/>
          <w:lang w:val="en-US" w:eastAsia="zh-CN" w:bidi="ar"/>
        </w:rPr>
        <w:t>车床、拉丝、抛光、喷砂、印刷、镭雕</w:t>
      </w:r>
      <w:r>
        <w:rPr>
          <w:rFonts w:hint="eastAsia" w:ascii="仿宋_GB2312" w:hAnsi="仿宋_GB2312" w:eastAsia="仿宋_GB2312" w:cs="仿宋_GB2312"/>
          <w:bCs/>
          <w:sz w:val="32"/>
          <w:szCs w:val="32"/>
          <w:lang w:eastAsia="zh-CN" w:bidi="ar"/>
        </w:rPr>
        <w:t>、检测、包装；钢圈主要工艺为原料、切割、</w:t>
      </w:r>
      <w:r>
        <w:rPr>
          <w:rFonts w:hint="eastAsia" w:ascii="仿宋_GB2312" w:hAnsi="仿宋_GB2312" w:eastAsia="仿宋_GB2312" w:cs="仿宋_GB2312"/>
          <w:bCs/>
          <w:sz w:val="32"/>
          <w:szCs w:val="32"/>
          <w:lang w:val="en-US" w:eastAsia="zh-CN" w:bidi="ar"/>
        </w:rPr>
        <w:t>CNC、车床、拉丝、喷砂、抛光、清洗、镭雕</w:t>
      </w:r>
      <w:r>
        <w:rPr>
          <w:rFonts w:hint="eastAsia" w:ascii="仿宋_GB2312" w:hAnsi="仿宋_GB2312" w:eastAsia="仿宋_GB2312" w:cs="仿宋_GB2312"/>
          <w:bCs/>
          <w:sz w:val="32"/>
          <w:szCs w:val="32"/>
          <w:lang w:eastAsia="zh-CN" w:bidi="ar"/>
        </w:rPr>
        <w:t>、</w:t>
      </w:r>
      <w:r>
        <w:rPr>
          <w:rFonts w:hint="eastAsia" w:ascii="仿宋_GB2312" w:hAnsi="仿宋_GB2312" w:eastAsia="仿宋_GB2312" w:cs="仿宋_GB2312"/>
          <w:bCs/>
          <w:sz w:val="32"/>
          <w:szCs w:val="32"/>
          <w:lang w:val="en-US" w:eastAsia="zh-CN" w:bidi="ar"/>
        </w:rPr>
        <w:t>检验、</w:t>
      </w:r>
      <w:r>
        <w:rPr>
          <w:rFonts w:hint="eastAsia" w:ascii="仿宋_GB2312" w:hAnsi="仿宋_GB2312" w:eastAsia="仿宋_GB2312" w:cs="仿宋_GB2312"/>
          <w:bCs/>
          <w:sz w:val="32"/>
          <w:szCs w:val="32"/>
          <w:lang w:eastAsia="zh-CN" w:bidi="ar"/>
        </w:rPr>
        <w:t>包装</w:t>
      </w:r>
      <w:r>
        <w:rPr>
          <w:rFonts w:hint="eastAsia" w:ascii="仿宋_GB2312" w:hAnsi="仿宋_GB2312" w:eastAsia="仿宋_GB2312" w:cs="仿宋_GB2312"/>
          <w:bCs/>
          <w:color w:val="000000"/>
          <w:sz w:val="32"/>
          <w:szCs w:val="32"/>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lang w:val="en-US" w:eastAsia="zh-CN"/>
        </w:rPr>
        <w:t>你公司应在项目建设及运营过程中，严格落实环境影响报告表提出的各项生态环境保护措施。我局原则上同意环境影响报告表所列建设项目的性质、规模、地点、工艺和环境保护对策措施。</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二、项目运营管理中应重点做好以下工作：</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项目在工程设计、建设和运行过程中应认真落实环境影响报告表提出的各项环境保护措施和要求。重点做好以下工作：</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（一）严格落实环境影响报告表要求。</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做好运营期的污染防治工作，确保各类污染物达标排放及妥善处置</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rPr>
        <w:t>（二）严格落实大气环境保护措施</w:t>
      </w:r>
      <w:r>
        <w:rPr>
          <w:rFonts w:hint="eastAsia" w:ascii="仿宋_GB2312" w:hAnsi="仿宋_GB2312" w:eastAsia="仿宋_GB2312" w:cs="仿宋_GB2312"/>
          <w:sz w:val="32"/>
          <w:szCs w:val="32"/>
        </w:rPr>
        <w:t>。</w:t>
      </w:r>
      <w:r>
        <w:rPr>
          <w:rFonts w:hint="eastAsia" w:ascii="仿宋_GB2312" w:hAnsi="仿宋_GB2312" w:eastAsia="仿宋_GB2312" w:cs="仿宋_GB2312"/>
          <w:b/>
          <w:bCs/>
          <w:color w:val="000000" w:themeColor="text1"/>
          <w:kern w:val="0"/>
          <w:sz w:val="32"/>
          <w:szCs w:val="32"/>
          <w:lang w:val="en-US" w:eastAsia="zh-CN" w:bidi="ar"/>
          <w14:textFill>
            <w14:solidFill>
              <w14:schemeClr w14:val="tx1"/>
            </w14:solidFill>
          </w14:textFill>
        </w:rPr>
        <w:t>有组织废气：</w:t>
      </w:r>
      <w:r>
        <w:rPr>
          <w:rFonts w:hint="eastAsia" w:ascii="仿宋_GB2312" w:hAnsi="仿宋_GB2312" w:eastAsia="仿宋_GB2312" w:cs="仿宋_GB2312"/>
          <w:bCs/>
          <w:sz w:val="32"/>
          <w:szCs w:val="32"/>
          <w:lang w:val="en-US" w:eastAsia="zh-CN" w:bidi="ar"/>
        </w:rPr>
        <w:t>铝熔炼废气通过集气罩收集后由耐高温布袋除尘器处理，再经15m排气筒（DA001）排放；</w:t>
      </w:r>
      <w:r>
        <w:rPr>
          <w:rFonts w:hint="eastAsia" w:ascii="仿宋_GB2312" w:hAnsi="仿宋_GB2312" w:eastAsia="仿宋_GB2312" w:cs="仿宋_GB2312"/>
          <w:bCs/>
          <w:sz w:val="32"/>
          <w:szCs w:val="32"/>
          <w:lang w:eastAsia="zh-CN" w:bidi="ar"/>
        </w:rPr>
        <w:t>喷砂粉尘</w:t>
      </w:r>
      <w:r>
        <w:rPr>
          <w:rFonts w:hint="eastAsia" w:ascii="仿宋_GB2312" w:hAnsi="仿宋_GB2312" w:eastAsia="仿宋_GB2312" w:cs="仿宋_GB2312"/>
          <w:bCs/>
          <w:sz w:val="32"/>
          <w:szCs w:val="32"/>
          <w:lang w:val="en-US" w:eastAsia="zh-CN" w:bidi="ar"/>
        </w:rPr>
        <w:t>通过负压收集后由脉冲布袋除尘器处理，再经25m排气筒（DA002）排放；</w:t>
      </w:r>
      <w:r>
        <w:rPr>
          <w:rFonts w:hint="eastAsia" w:ascii="仿宋_GB2312" w:hAnsi="仿宋_GB2312" w:eastAsia="仿宋_GB2312" w:cs="仿宋_GB2312"/>
          <w:bCs/>
          <w:sz w:val="32"/>
          <w:szCs w:val="32"/>
          <w:lang w:eastAsia="zh-CN" w:bidi="ar"/>
        </w:rPr>
        <w:t>拉丝粉尘</w:t>
      </w:r>
      <w:r>
        <w:rPr>
          <w:rFonts w:hint="eastAsia" w:ascii="仿宋_GB2312" w:hAnsi="仿宋_GB2312" w:eastAsia="仿宋_GB2312" w:cs="仿宋_GB2312"/>
          <w:bCs/>
          <w:sz w:val="32"/>
          <w:szCs w:val="32"/>
          <w:lang w:val="en-US" w:eastAsia="zh-CN" w:bidi="ar"/>
        </w:rPr>
        <w:t>通过负压收集后由水喷淋装置处理，再经25m排气筒（DA003）排放；</w:t>
      </w:r>
      <w:r>
        <w:rPr>
          <w:rFonts w:hint="eastAsia" w:ascii="仿宋_GB2312" w:hAnsi="仿宋_GB2312" w:eastAsia="仿宋_GB2312" w:cs="仿宋_GB2312"/>
          <w:bCs/>
          <w:sz w:val="32"/>
          <w:szCs w:val="32"/>
          <w:lang w:eastAsia="zh-CN" w:bidi="ar"/>
        </w:rPr>
        <w:t>抛光粉尘</w:t>
      </w:r>
      <w:r>
        <w:rPr>
          <w:rFonts w:hint="eastAsia" w:ascii="仿宋_GB2312" w:hAnsi="仿宋_GB2312" w:eastAsia="仿宋_GB2312" w:cs="仿宋_GB2312"/>
          <w:bCs/>
          <w:sz w:val="32"/>
          <w:szCs w:val="32"/>
          <w:lang w:val="en-US" w:eastAsia="zh-CN" w:bidi="ar"/>
        </w:rPr>
        <w:t>通过负压收集后由水喷淋装置处理，再经25m排气筒（DA004）排放；</w:t>
      </w:r>
      <w:r>
        <w:rPr>
          <w:rFonts w:hint="eastAsia" w:ascii="仿宋_GB2312" w:hAnsi="仿宋_GB2312" w:eastAsia="仿宋_GB2312" w:cs="仿宋_GB2312"/>
          <w:bCs/>
          <w:sz w:val="32"/>
          <w:szCs w:val="32"/>
          <w:lang w:eastAsia="zh-CN" w:bidi="ar"/>
        </w:rPr>
        <w:t>食堂油烟</w:t>
      </w:r>
      <w:r>
        <w:rPr>
          <w:rFonts w:hint="eastAsia" w:ascii="仿宋_GB2312" w:hAnsi="仿宋_GB2312" w:eastAsia="仿宋_GB2312" w:cs="仿宋_GB2312"/>
          <w:bCs/>
          <w:sz w:val="32"/>
          <w:szCs w:val="32"/>
          <w:lang w:val="en-US" w:eastAsia="zh-CN" w:bidi="ar"/>
        </w:rPr>
        <w:t>通过集气罩收集后由静电式油烟净化器处理，再经高于屋顶的排气筒排放。</w:t>
      </w:r>
      <w:r>
        <w:rPr>
          <w:rFonts w:hint="eastAsia" w:ascii="仿宋_GB2312" w:hAnsi="仿宋_GB2312" w:eastAsia="仿宋_GB2312" w:cs="仿宋_GB2312"/>
          <w:b/>
          <w:bCs w:val="0"/>
          <w:sz w:val="32"/>
          <w:szCs w:val="32"/>
          <w:lang w:eastAsia="zh-CN" w:bidi="ar"/>
        </w:rPr>
        <w:t>无组织废气</w:t>
      </w:r>
      <w:r>
        <w:rPr>
          <w:rFonts w:hint="eastAsia" w:ascii="仿宋_GB2312" w:hAnsi="仿宋_GB2312" w:eastAsia="仿宋_GB2312" w:cs="仿宋_GB2312"/>
          <w:b/>
          <w:bCs w:val="0"/>
          <w:sz w:val="32"/>
          <w:szCs w:val="32"/>
          <w:highlight w:val="none"/>
          <w:lang w:val="en-US" w:eastAsia="zh-CN" w:bidi="ar"/>
        </w:rPr>
        <w:t>：</w:t>
      </w:r>
      <w:r>
        <w:rPr>
          <w:rFonts w:hint="eastAsia" w:ascii="仿宋_GB2312" w:hAnsi="仿宋_GB2312" w:eastAsia="仿宋_GB2312" w:cs="仿宋_GB2312"/>
          <w:bCs/>
          <w:sz w:val="32"/>
          <w:szCs w:val="32"/>
          <w:lang w:val="en-US" w:eastAsia="zh-CN" w:bidi="ar"/>
        </w:rPr>
        <w:t>冲孔粉尘和切割粉尘通过负压收集后由脉冲布袋除尘器处理，</w:t>
      </w:r>
      <w:r>
        <w:rPr>
          <w:rFonts w:hint="eastAsia" w:ascii="仿宋_GB2312" w:hAnsi="仿宋_GB2312" w:eastAsia="仿宋_GB2312" w:cs="仿宋_GB2312"/>
          <w:bCs/>
          <w:sz w:val="32"/>
          <w:szCs w:val="32"/>
          <w:lang w:eastAsia="zh-CN" w:bidi="ar"/>
        </w:rPr>
        <w:t>通过加强车间通风排气后以无组织形式排放</w:t>
      </w:r>
      <w:r>
        <w:rPr>
          <w:rFonts w:hint="eastAsia" w:ascii="仿宋_GB2312" w:hAnsi="仿宋_GB2312" w:eastAsia="仿宋_GB2312" w:cs="仿宋_GB2312"/>
          <w:bCs/>
          <w:sz w:val="32"/>
          <w:szCs w:val="32"/>
          <w:highlight w:val="none"/>
          <w:lang w:val="en-US" w:eastAsia="zh-CN" w:bidi="ar"/>
        </w:rPr>
        <w:t>；</w:t>
      </w:r>
      <w:r>
        <w:rPr>
          <w:rFonts w:hint="eastAsia" w:ascii="仿宋_GB2312" w:hAnsi="仿宋_GB2312" w:eastAsia="仿宋_GB2312" w:cs="仿宋_GB2312"/>
          <w:bCs/>
          <w:sz w:val="32"/>
          <w:szCs w:val="32"/>
          <w:lang w:val="en-US" w:eastAsia="zh-CN" w:bidi="ar"/>
        </w:rPr>
        <w:t>机加工有机废气、印刷有机废气和镭雕废气</w:t>
      </w:r>
      <w:r>
        <w:rPr>
          <w:rFonts w:hint="eastAsia" w:ascii="仿宋_GB2312" w:hAnsi="仿宋_GB2312" w:eastAsia="仿宋_GB2312" w:cs="仿宋_GB2312"/>
          <w:bCs/>
          <w:sz w:val="32"/>
          <w:szCs w:val="32"/>
          <w:lang w:eastAsia="zh-CN" w:bidi="ar"/>
        </w:rPr>
        <w:t>通过加强车间通风排气后以无组织形式排放</w:t>
      </w:r>
      <w:r>
        <w:rPr>
          <w:rFonts w:hint="eastAsia" w:ascii="仿宋_GB2312" w:hAnsi="仿宋_GB2312" w:eastAsia="仿宋_GB2312" w:cs="仿宋_GB2312"/>
          <w:bCs/>
          <w:sz w:val="32"/>
          <w:szCs w:val="32"/>
          <w:highlight w:val="none"/>
          <w:lang w:val="en-US" w:eastAsia="zh-CN" w:bidi="ar"/>
        </w:rPr>
        <w:t>；</w:t>
      </w:r>
      <w:r>
        <w:rPr>
          <w:rFonts w:hint="eastAsia" w:ascii="仿宋_GB2312" w:hAnsi="仿宋_GB2312" w:eastAsia="仿宋_GB2312" w:cs="仿宋_GB2312"/>
          <w:bCs/>
          <w:sz w:val="32"/>
          <w:szCs w:val="32"/>
          <w:lang w:val="en-US" w:eastAsia="zh-CN" w:bidi="ar"/>
        </w:rPr>
        <w:t>未收集的铝熔炼废气、喷砂粉尘、拉丝粉尘和抛光粉尘</w:t>
      </w:r>
      <w:r>
        <w:rPr>
          <w:rFonts w:hint="eastAsia" w:ascii="仿宋_GB2312" w:hAnsi="仿宋_GB2312" w:eastAsia="仿宋_GB2312" w:cs="仿宋_GB2312"/>
          <w:bCs/>
          <w:sz w:val="32"/>
          <w:szCs w:val="32"/>
          <w:lang w:eastAsia="zh-CN" w:bidi="ar"/>
        </w:rPr>
        <w:t>通过加强车间通风排气后以无组织形式排放</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（三）严格落实各项水污染防治措施。</w:t>
      </w:r>
      <w:r>
        <w:rPr>
          <w:rFonts w:hint="eastAsia" w:ascii="仿宋_GB2312" w:hAnsi="仿宋_GB2312" w:eastAsia="仿宋_GB2312" w:cs="仿宋_GB2312"/>
          <w:bCs/>
          <w:color w:val="000000"/>
          <w:sz w:val="32"/>
          <w:szCs w:val="32"/>
          <w:lang w:eastAsia="zh-CN"/>
        </w:rPr>
        <w:t>项目</w:t>
      </w:r>
      <w:r>
        <w:rPr>
          <w:rFonts w:hint="eastAsia" w:ascii="仿宋_GB2312" w:hAnsi="仿宋_GB2312" w:eastAsia="仿宋_GB2312" w:cs="仿宋_GB2312"/>
          <w:bCs/>
          <w:color w:val="000000"/>
          <w:sz w:val="32"/>
          <w:szCs w:val="32"/>
        </w:rPr>
        <w:t>废水主要为</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精抛</w:t>
      </w:r>
      <w:r>
        <w:rPr>
          <w:rFonts w:hint="eastAsia" w:ascii="仿宋_GB2312" w:hAnsi="仿宋_GB2312" w:eastAsia="仿宋_GB2312" w:cs="仿宋_GB2312"/>
          <w:bCs/>
          <w:color w:val="000000" w:themeColor="text1"/>
          <w:sz w:val="32"/>
          <w:szCs w:val="32"/>
          <w14:textFill>
            <w14:solidFill>
              <w14:schemeClr w14:val="tx1"/>
            </w14:solidFill>
          </w14:textFill>
        </w:rPr>
        <w:t>研磨</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废水、超声波清洗废水、机加工废水、冷却废水、水喷淋废水和</w:t>
      </w:r>
      <w:r>
        <w:rPr>
          <w:rFonts w:hint="eastAsia" w:ascii="仿宋_GB2312" w:hAnsi="仿宋_GB2312" w:eastAsia="仿宋_GB2312" w:cs="仿宋_GB2312"/>
          <w:bCs/>
          <w:color w:val="000000" w:themeColor="text1"/>
          <w:sz w:val="32"/>
          <w:szCs w:val="32"/>
          <w14:textFill>
            <w14:solidFill>
              <w14:schemeClr w14:val="tx1"/>
            </w14:solidFill>
          </w14:textFill>
        </w:rPr>
        <w:t>生活污水</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等。机加工废水、冷却废水和水喷淋废水循环使用不外排；精抛</w:t>
      </w:r>
      <w:r>
        <w:rPr>
          <w:rFonts w:hint="eastAsia" w:ascii="仿宋_GB2312" w:hAnsi="仿宋_GB2312" w:eastAsia="仿宋_GB2312" w:cs="仿宋_GB2312"/>
          <w:bCs/>
          <w:color w:val="000000" w:themeColor="text1"/>
          <w:sz w:val="32"/>
          <w:szCs w:val="32"/>
          <w14:textFill>
            <w14:solidFill>
              <w14:schemeClr w14:val="tx1"/>
            </w14:solidFill>
          </w14:textFill>
        </w:rPr>
        <w:t>研磨</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废水和超声波清洗废水</w:t>
      </w:r>
      <w:r>
        <w:rPr>
          <w:rFonts w:hint="eastAsia" w:ascii="仿宋_GB2312" w:hAnsi="仿宋_GB2312" w:eastAsia="仿宋_GB2312" w:cs="仿宋_GB2312"/>
          <w:bCs/>
          <w:color w:val="000000" w:themeColor="text1"/>
          <w:sz w:val="32"/>
          <w:szCs w:val="32"/>
          <w:lang w:val="zh-CN" w:eastAsia="zh-CN"/>
          <w14:textFill>
            <w14:solidFill>
              <w14:schemeClr w14:val="tx1"/>
            </w14:solidFill>
          </w14:textFill>
        </w:rPr>
        <w:t>经破乳除油+混凝沉淀+压滤预</w:t>
      </w:r>
      <w:r>
        <w:rPr>
          <w:rFonts w:hint="eastAsia" w:ascii="仿宋_GB2312" w:hAnsi="仿宋_GB2312" w:eastAsia="仿宋_GB2312" w:cs="仿宋_GB2312"/>
          <w:bCs/>
          <w:color w:val="000000"/>
          <w:sz w:val="32"/>
          <w:szCs w:val="32"/>
          <w:lang w:val="zh-CN" w:eastAsia="zh-CN"/>
        </w:rPr>
        <w:t>处理后，</w:t>
      </w:r>
      <w:r>
        <w:rPr>
          <w:rFonts w:hint="eastAsia" w:ascii="仿宋_GB2312" w:hAnsi="仿宋_GB2312" w:eastAsia="仿宋_GB2312" w:cs="仿宋_GB2312"/>
          <w:bCs/>
          <w:color w:val="000000"/>
          <w:sz w:val="32"/>
          <w:szCs w:val="32"/>
          <w:lang w:eastAsia="zh-CN"/>
        </w:rPr>
        <w:t>与经隔油池和化粪池处理后的</w:t>
      </w:r>
      <w:r>
        <w:rPr>
          <w:rFonts w:hint="eastAsia" w:ascii="仿宋_GB2312" w:hAnsi="仿宋_GB2312" w:eastAsia="仿宋_GB2312" w:cs="仿宋_GB2312"/>
          <w:bCs/>
          <w:color w:val="000000"/>
          <w:sz w:val="32"/>
          <w:szCs w:val="32"/>
        </w:rPr>
        <w:t>生活污水</w:t>
      </w:r>
      <w:r>
        <w:rPr>
          <w:rFonts w:hint="eastAsia" w:ascii="仿宋_GB2312" w:hAnsi="仿宋_GB2312" w:eastAsia="仿宋_GB2312" w:cs="仿宋_GB2312"/>
          <w:bCs/>
          <w:color w:val="000000"/>
          <w:sz w:val="32"/>
          <w:szCs w:val="32"/>
          <w:lang w:eastAsia="zh-CN"/>
        </w:rPr>
        <w:t>一起通过</w:t>
      </w:r>
      <w:r>
        <w:rPr>
          <w:rFonts w:hint="eastAsia" w:ascii="仿宋_GB2312" w:hAnsi="仿宋_GB2312" w:eastAsia="仿宋_GB2312" w:cs="仿宋_GB2312"/>
          <w:bCs/>
          <w:color w:val="000000"/>
          <w:sz w:val="32"/>
          <w:szCs w:val="32"/>
        </w:rPr>
        <w:t>园区污水管网进入</w:t>
      </w:r>
      <w:r>
        <w:rPr>
          <w:rFonts w:hint="eastAsia" w:ascii="仿宋_GB2312" w:hAnsi="仿宋_GB2312" w:eastAsia="仿宋_GB2312" w:cs="仿宋_GB2312"/>
          <w:bCs/>
          <w:color w:val="000000"/>
          <w:sz w:val="32"/>
          <w:szCs w:val="32"/>
          <w:lang w:eastAsia="zh-CN"/>
        </w:rPr>
        <w:t>江西上犹工业园污水处理厂</w:t>
      </w:r>
      <w:r>
        <w:rPr>
          <w:rFonts w:hint="eastAsia" w:ascii="仿宋_GB2312" w:hAnsi="仿宋_GB2312" w:eastAsia="仿宋_GB2312" w:cs="仿宋_GB2312"/>
          <w:bCs/>
          <w:color w:val="000000"/>
          <w:sz w:val="32"/>
          <w:szCs w:val="32"/>
        </w:rPr>
        <w:t>深度处理</w:t>
      </w:r>
      <w:r>
        <w:rPr>
          <w:rFonts w:hint="eastAsia" w:ascii="仿宋_GB2312" w:hAnsi="仿宋_GB2312" w:eastAsia="仿宋_GB2312" w:cs="仿宋_GB2312"/>
          <w:bCs/>
          <w:color w:val="000000"/>
          <w:sz w:val="32"/>
          <w:szCs w:val="32"/>
          <w:lang w:eastAsia="zh-CN"/>
        </w:rPr>
        <w:t>达标后</w:t>
      </w:r>
      <w:r>
        <w:rPr>
          <w:rFonts w:hint="eastAsia" w:ascii="仿宋_GB2312" w:hAnsi="仿宋_GB2312" w:eastAsia="仿宋_GB2312" w:cs="仿宋_GB2312"/>
          <w:color w:val="000000"/>
          <w:kern w:val="0"/>
          <w:sz w:val="32"/>
          <w:szCs w:val="32"/>
        </w:rPr>
        <w:t>，最终排入</w:t>
      </w:r>
      <w:r>
        <w:rPr>
          <w:rFonts w:hint="eastAsia" w:ascii="仿宋_GB2312" w:hAnsi="仿宋_GB2312" w:eastAsia="仿宋_GB2312" w:cs="仿宋_GB2312"/>
          <w:color w:val="000000"/>
          <w:kern w:val="0"/>
          <w:sz w:val="32"/>
          <w:szCs w:val="32"/>
          <w:lang w:eastAsia="zh-CN"/>
        </w:rPr>
        <w:t>上犹江</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（四）严格落实声环境保护措施。</w:t>
      </w:r>
      <w:r>
        <w:rPr>
          <w:rFonts w:hint="eastAsia" w:ascii="仿宋_GB2312" w:hAnsi="仿宋_GB2312" w:eastAsia="仿宋_GB2312" w:cs="仿宋_GB2312"/>
          <w:color w:val="000000"/>
          <w:kern w:val="0"/>
          <w:sz w:val="32"/>
          <w:szCs w:val="32"/>
          <w:lang w:eastAsia="zh-CN"/>
        </w:rPr>
        <w:t>项目</w:t>
      </w:r>
      <w:r>
        <w:rPr>
          <w:rFonts w:hint="eastAsia" w:ascii="仿宋_GB2312" w:hAnsi="仿宋_GB2312" w:eastAsia="仿宋_GB2312" w:cs="仿宋_GB2312"/>
          <w:color w:val="000000"/>
          <w:kern w:val="0"/>
          <w:sz w:val="32"/>
          <w:szCs w:val="32"/>
        </w:rPr>
        <w:t>噪声主要为压铸机、冷却水塔、激光切割机、走心机、CNC、车床、攻牙机、手工抛光机、自动抛光机、精抛研磨机、拉丝机、喷砂机、印刷机、镭雕机、清洗机</w:t>
      </w:r>
      <w:r>
        <w:rPr>
          <w:rFonts w:hint="eastAsia" w:ascii="仿宋_GB2312" w:hAnsi="仿宋_GB2312" w:eastAsia="仿宋_GB2312" w:cs="仿宋_GB2312"/>
          <w:color w:val="000000"/>
          <w:kern w:val="0"/>
          <w:sz w:val="32"/>
          <w:szCs w:val="32"/>
          <w:lang w:val="en-US" w:eastAsia="zh-CN"/>
        </w:rPr>
        <w:t>和风机</w:t>
      </w:r>
      <w:r>
        <w:rPr>
          <w:rFonts w:hint="eastAsia" w:ascii="仿宋_GB2312" w:hAnsi="仿宋_GB2312" w:eastAsia="仿宋_GB2312" w:cs="仿宋_GB2312"/>
          <w:color w:val="000000"/>
          <w:kern w:val="0"/>
          <w:sz w:val="32"/>
          <w:szCs w:val="32"/>
        </w:rPr>
        <w:t>等设备运行过程中产生的噪声。通过选用低噪声设备，采取基础减震、厂房隔声等降噪措施，以降低噪声的传播和干扰</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color w:val="000000"/>
          <w:spacing w:val="4"/>
          <w:kern w:val="18"/>
          <w:sz w:val="32"/>
          <w:szCs w:val="32"/>
          <w:lang w:val="en-GB" w:eastAsia="zh-CN" w:bidi="ar-SA"/>
        </w:rPr>
      </w:pPr>
      <w:r>
        <w:rPr>
          <w:rFonts w:hint="eastAsia" w:ascii="仿宋_GB2312" w:hAnsi="仿宋_GB2312" w:eastAsia="仿宋_GB2312" w:cs="仿宋_GB2312"/>
          <w:b/>
          <w:bCs/>
          <w:sz w:val="32"/>
          <w:szCs w:val="32"/>
        </w:rPr>
        <w:t>（五）严格落实固体废物污染防治措施。</w:t>
      </w:r>
      <w:r>
        <w:rPr>
          <w:rFonts w:hint="eastAsia" w:ascii="仿宋_GB2312" w:hAnsi="仿宋_GB2312" w:eastAsia="仿宋_GB2312" w:cs="仿宋_GB2312"/>
          <w:b w:val="0"/>
          <w:bCs w:val="0"/>
          <w:color w:val="000000"/>
          <w:sz w:val="32"/>
          <w:szCs w:val="32"/>
          <w:lang w:eastAsia="zh-CN"/>
        </w:rPr>
        <w:t>拟设</w:t>
      </w:r>
      <w:r>
        <w:rPr>
          <w:rFonts w:hint="eastAsia" w:ascii="仿宋_GB2312" w:hAnsi="仿宋_GB2312" w:eastAsia="仿宋_GB2312" w:cs="仿宋_GB2312"/>
          <w:b w:val="0"/>
          <w:bCs w:val="0"/>
          <w:color w:val="000000"/>
          <w:sz w:val="32"/>
          <w:szCs w:val="32"/>
          <w:lang w:val="en-US" w:eastAsia="zh-CN"/>
        </w:rPr>
        <w:t>1间一般固废暂存库，</w:t>
      </w:r>
      <w:r>
        <w:rPr>
          <w:rFonts w:hint="eastAsia" w:ascii="仿宋_GB2312" w:hAnsi="仿宋_GB2312" w:eastAsia="仿宋_GB2312" w:cs="仿宋_GB2312"/>
          <w:color w:val="000000"/>
          <w:sz w:val="32"/>
          <w:szCs w:val="32"/>
          <w:lang w:val="en-US"/>
        </w:rPr>
        <w:t>占地面积为</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val="en-US"/>
        </w:rPr>
        <w:t>m</w:t>
      </w:r>
      <w:r>
        <w:rPr>
          <w:rFonts w:hint="eastAsia" w:ascii="仿宋_GB2312" w:hAnsi="仿宋_GB2312" w:eastAsia="仿宋_GB2312" w:cs="仿宋_GB2312"/>
          <w:color w:val="000000"/>
          <w:sz w:val="32"/>
          <w:szCs w:val="32"/>
          <w:vertAlign w:val="superscript"/>
          <w:lang w:val="en-US"/>
        </w:rPr>
        <w:t>2</w:t>
      </w:r>
      <w:r>
        <w:rPr>
          <w:rFonts w:hint="eastAsia" w:ascii="仿宋_GB2312" w:hAnsi="仿宋_GB2312" w:eastAsia="仿宋_GB2312" w:cs="仿宋_GB2312"/>
          <w:color w:val="000000"/>
          <w:sz w:val="32"/>
          <w:szCs w:val="32"/>
          <w:vertAlign w:val="baseline"/>
          <w:lang w:val="en-US" w:eastAsia="zh-CN"/>
        </w:rPr>
        <w:t>（有效容积4m</w:t>
      </w:r>
      <w:r>
        <w:rPr>
          <w:rFonts w:hint="eastAsia" w:ascii="仿宋_GB2312" w:hAnsi="仿宋_GB2312" w:eastAsia="仿宋_GB2312" w:cs="仿宋_GB2312"/>
          <w:color w:val="000000"/>
          <w:sz w:val="32"/>
          <w:szCs w:val="32"/>
          <w:vertAlign w:val="superscript"/>
          <w:lang w:val="en-US" w:eastAsia="zh-CN"/>
        </w:rPr>
        <w:t>3</w:t>
      </w:r>
      <w:r>
        <w:rPr>
          <w:rFonts w:hint="eastAsia" w:ascii="仿宋_GB2312" w:hAnsi="仿宋_GB2312" w:eastAsia="仿宋_GB2312" w:cs="仿宋_GB2312"/>
          <w:color w:val="000000"/>
          <w:sz w:val="32"/>
          <w:szCs w:val="32"/>
          <w:vertAlign w:val="baseline"/>
          <w:lang w:val="en-US" w:eastAsia="zh-CN"/>
        </w:rPr>
        <w:t>）</w:t>
      </w:r>
      <w:r>
        <w:rPr>
          <w:rFonts w:hint="eastAsia" w:ascii="仿宋_GB2312" w:hAnsi="仿宋_GB2312" w:eastAsia="仿宋_GB2312" w:cs="仿宋_GB2312"/>
          <w:color w:val="000000"/>
          <w:spacing w:val="4"/>
          <w:kern w:val="18"/>
          <w:sz w:val="32"/>
          <w:szCs w:val="32"/>
          <w:lang w:val="en-US" w:eastAsia="zh-CN" w:bidi="ar-SA"/>
        </w:rPr>
        <w:t>，一般固废暂存间按《一般工业固体废物贮存和填埋污染控制标准》（GB18599-2020）要求执行，落实好相应防渗漏、防雨淋、防扬尘等环境保护要求。一般工业固体废物：</w:t>
      </w:r>
      <w:r>
        <w:rPr>
          <w:rFonts w:hint="eastAsia" w:ascii="仿宋_GB2312" w:hAnsi="仿宋_GB2312" w:eastAsia="仿宋_GB2312" w:cs="仿宋_GB2312"/>
          <w:b w:val="0"/>
          <w:bCs w:val="0"/>
          <w:color w:val="000000"/>
          <w:sz w:val="32"/>
          <w:szCs w:val="32"/>
          <w:lang w:val="en-GB" w:eastAsia="zh-CN"/>
        </w:rPr>
        <w:t>收集粉尘、废包装材料、边角料及不合格品、沉淀渣和废布袋</w:t>
      </w:r>
      <w:r>
        <w:rPr>
          <w:rFonts w:hint="eastAsia" w:ascii="仿宋_GB2312" w:hAnsi="仿宋_GB2312" w:eastAsia="仿宋_GB2312" w:cs="仿宋_GB2312"/>
          <w:color w:val="000000"/>
          <w:sz w:val="32"/>
          <w:szCs w:val="32"/>
          <w:lang w:val="en-GB" w:eastAsia="zh-CN"/>
        </w:rPr>
        <w:t>集中收集暂存于一般固废暂存库，外售综合利用</w:t>
      </w:r>
      <w:r>
        <w:rPr>
          <w:rFonts w:hint="eastAsia" w:ascii="仿宋_GB2312" w:hAnsi="仿宋_GB2312" w:eastAsia="仿宋_GB2312" w:cs="仿宋_GB2312"/>
          <w:color w:val="000000"/>
          <w:spacing w:val="4"/>
          <w:kern w:val="18"/>
          <w:sz w:val="32"/>
          <w:szCs w:val="32"/>
          <w:lang w:val="en-US" w:eastAsia="zh-CN" w:bidi="ar-SA"/>
        </w:rPr>
        <w:t>。</w:t>
      </w:r>
    </w:p>
    <w:p>
      <w:pPr>
        <w:keepNext w:val="0"/>
        <w:keepLines w:val="0"/>
        <w:pageBreakBefore w:val="0"/>
        <w:kinsoku/>
        <w:wordWrap/>
        <w:overflowPunct/>
        <w:topLinePunct w:val="0"/>
        <w:autoSpaceDE/>
        <w:autoSpaceDN/>
        <w:bidi w:val="0"/>
        <w:adjustRightInd w:val="0"/>
        <w:snapToGrid w:val="0"/>
        <w:spacing w:line="520" w:lineRule="exact"/>
        <w:ind w:firstLine="640" w:firstLineChars="200"/>
        <w:jc w:val="left"/>
        <w:textAlignment w:val="auto"/>
        <w:rPr>
          <w:rFonts w:hint="eastAsia" w:ascii="仿宋_GB2312" w:hAnsi="仿宋_GB2312" w:eastAsia="仿宋_GB2312" w:cs="仿宋_GB2312"/>
          <w:color w:val="000000"/>
          <w:spacing w:val="4"/>
          <w:kern w:val="18"/>
          <w:sz w:val="32"/>
          <w:szCs w:val="32"/>
          <w:lang w:val="en-US" w:eastAsia="zh-CN" w:bidi="ar-SA"/>
        </w:rPr>
      </w:pPr>
      <w:r>
        <w:rPr>
          <w:rFonts w:hint="eastAsia" w:ascii="仿宋_GB2312" w:hAnsi="仿宋_GB2312" w:eastAsia="仿宋_GB2312" w:cs="仿宋_GB2312"/>
          <w:b w:val="0"/>
          <w:bCs w:val="0"/>
          <w:color w:val="000000"/>
          <w:sz w:val="32"/>
          <w:szCs w:val="32"/>
          <w:lang w:eastAsia="zh-CN"/>
        </w:rPr>
        <w:t>拟设1间危险废物暂存库</w:t>
      </w: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eastAsia="仿宋_GB2312" w:cs="仿宋_GB2312"/>
          <w:color w:val="000000"/>
          <w:sz w:val="32"/>
          <w:szCs w:val="32"/>
          <w:lang w:val="en-US"/>
        </w:rPr>
        <w:t>占地面积为</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val="en-US"/>
        </w:rPr>
        <w:t>m</w:t>
      </w:r>
      <w:r>
        <w:rPr>
          <w:rFonts w:hint="eastAsia" w:ascii="仿宋_GB2312" w:hAnsi="仿宋_GB2312" w:eastAsia="仿宋_GB2312" w:cs="仿宋_GB2312"/>
          <w:color w:val="000000"/>
          <w:sz w:val="32"/>
          <w:szCs w:val="32"/>
          <w:vertAlign w:val="superscript"/>
          <w:lang w:val="en-US"/>
        </w:rPr>
        <w:t>2</w:t>
      </w:r>
      <w:r>
        <w:rPr>
          <w:rFonts w:hint="eastAsia" w:ascii="仿宋_GB2312" w:hAnsi="仿宋_GB2312" w:eastAsia="仿宋_GB2312" w:cs="仿宋_GB2312"/>
          <w:color w:val="000000"/>
          <w:sz w:val="32"/>
          <w:szCs w:val="32"/>
          <w:vertAlign w:val="baseline"/>
          <w:lang w:val="en-US" w:eastAsia="zh-CN"/>
        </w:rPr>
        <w:t>（有效容积4m</w:t>
      </w:r>
      <w:r>
        <w:rPr>
          <w:rFonts w:hint="eastAsia" w:ascii="仿宋_GB2312" w:hAnsi="仿宋_GB2312" w:eastAsia="仿宋_GB2312" w:cs="仿宋_GB2312"/>
          <w:color w:val="000000"/>
          <w:sz w:val="32"/>
          <w:szCs w:val="32"/>
          <w:vertAlign w:val="superscript"/>
          <w:lang w:val="en-US" w:eastAsia="zh-CN"/>
        </w:rPr>
        <w:t>3</w:t>
      </w:r>
      <w:r>
        <w:rPr>
          <w:rFonts w:hint="eastAsia" w:ascii="仿宋_GB2312" w:hAnsi="仿宋_GB2312" w:eastAsia="仿宋_GB2312" w:cs="仿宋_GB2312"/>
          <w:color w:val="000000"/>
          <w:sz w:val="32"/>
          <w:szCs w:val="32"/>
          <w:vertAlign w:val="baseline"/>
          <w:lang w:val="en-US" w:eastAsia="zh-CN"/>
        </w:rPr>
        <w:t>），</w:t>
      </w:r>
      <w:r>
        <w:rPr>
          <w:rFonts w:hint="eastAsia" w:ascii="仿宋_GB2312" w:hAnsi="仿宋_GB2312" w:eastAsia="仿宋_GB2312" w:cs="仿宋_GB2312"/>
          <w:color w:val="000000"/>
          <w:spacing w:val="4"/>
          <w:kern w:val="18"/>
          <w:sz w:val="32"/>
          <w:szCs w:val="32"/>
          <w:lang w:val="en-US" w:eastAsia="zh-CN" w:bidi="ar-SA"/>
        </w:rPr>
        <w:t>危废暂存间严格按《危险废物贮存污染控制标准》（GB18597-2023）等国家及地方法律法规的要求进行设置和管理。</w:t>
      </w:r>
      <w:r>
        <w:rPr>
          <w:rFonts w:hint="eastAsia" w:ascii="仿宋_GB2312" w:hAnsi="仿宋_GB2312" w:eastAsia="仿宋_GB2312" w:cs="仿宋_GB2312"/>
          <w:color w:val="000000"/>
          <w:spacing w:val="4"/>
          <w:kern w:val="18"/>
          <w:sz w:val="32"/>
          <w:szCs w:val="32"/>
          <w:lang w:val="en-GB" w:eastAsia="zh-CN" w:bidi="ar-SA"/>
        </w:rPr>
        <w:t>危险废物：</w:t>
      </w:r>
      <w:r>
        <w:rPr>
          <w:rFonts w:hint="eastAsia" w:ascii="仿宋_GB2312" w:hAnsi="仿宋_GB2312" w:eastAsia="仿宋_GB2312" w:cs="仿宋_GB2312"/>
          <w:b w:val="0"/>
          <w:bCs w:val="0"/>
          <w:color w:val="000000"/>
          <w:sz w:val="32"/>
          <w:szCs w:val="32"/>
          <w:lang w:val="en-GB" w:eastAsia="zh-CN"/>
        </w:rPr>
        <w:t>铝渣、废原料桶、废切削液、废机油、废抹布、废保温棉、废网版和污泥收集后暂存于危险废物暂存库，定期交由有资质单位处置</w:t>
      </w:r>
      <w:r>
        <w:rPr>
          <w:rFonts w:hint="eastAsia" w:ascii="仿宋_GB2312" w:hAnsi="仿宋_GB2312" w:eastAsia="仿宋_GB2312" w:cs="仿宋_GB2312"/>
          <w:color w:val="000000"/>
          <w:spacing w:val="4"/>
          <w:kern w:val="18"/>
          <w:sz w:val="32"/>
          <w:szCs w:val="32"/>
          <w:lang w:val="en-US" w:eastAsia="zh-CN" w:bidi="ar-SA"/>
        </w:rPr>
        <w:t>。</w:t>
      </w:r>
    </w:p>
    <w:p>
      <w:pPr>
        <w:keepNext w:val="0"/>
        <w:keepLines w:val="0"/>
        <w:pageBreakBefore w:val="0"/>
        <w:kinsoku/>
        <w:wordWrap/>
        <w:overflowPunct/>
        <w:topLinePunct w:val="0"/>
        <w:autoSpaceDE/>
        <w:autoSpaceDN/>
        <w:bidi w:val="0"/>
        <w:adjustRightInd w:val="0"/>
        <w:snapToGrid w:val="0"/>
        <w:spacing w:line="520" w:lineRule="exact"/>
        <w:ind w:firstLine="656" w:firstLineChars="200"/>
        <w:jc w:val="left"/>
        <w:textAlignment w:val="auto"/>
        <w:rPr>
          <w:rFonts w:hint="eastAsia" w:ascii="仿宋_GB2312" w:hAnsi="仿宋_GB2312" w:eastAsia="仿宋_GB2312" w:cs="仿宋_GB2312"/>
          <w:color w:val="000000"/>
          <w:spacing w:val="4"/>
          <w:kern w:val="18"/>
          <w:sz w:val="32"/>
          <w:szCs w:val="32"/>
          <w:lang w:val="en-US" w:eastAsia="zh-CN" w:bidi="ar-SA"/>
        </w:rPr>
      </w:pPr>
      <w:r>
        <w:rPr>
          <w:rFonts w:hint="eastAsia" w:ascii="仿宋_GB2312" w:hAnsi="仿宋_GB2312" w:eastAsia="仿宋_GB2312" w:cs="仿宋_GB2312"/>
          <w:color w:val="000000"/>
          <w:spacing w:val="4"/>
          <w:kern w:val="18"/>
          <w:sz w:val="32"/>
          <w:szCs w:val="32"/>
          <w:lang w:val="en-US" w:eastAsia="zh-CN" w:bidi="ar-SA"/>
        </w:rPr>
        <w:t>生活垃圾统一收集由环卫部门定期清运处理。</w:t>
      </w:r>
    </w:p>
    <w:p>
      <w:pPr>
        <w:pStyle w:val="5"/>
        <w:adjustRightInd w:val="0"/>
        <w:snapToGrid w:val="0"/>
        <w:spacing w:line="520" w:lineRule="exact"/>
        <w:ind w:firstLine="659"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sz w:val="32"/>
          <w:szCs w:val="32"/>
        </w:rPr>
        <w:t>（六）严格落实地下水、土壤污染防治措施。</w:t>
      </w:r>
      <w:r>
        <w:rPr>
          <w:rFonts w:hint="eastAsia" w:ascii="仿宋_GB2312" w:hAnsi="仿宋_GB2312" w:eastAsia="仿宋_GB2312" w:cs="仿宋_GB2312"/>
          <w:b w:val="0"/>
          <w:bCs w:val="0"/>
          <w:color w:val="000000" w:themeColor="text1"/>
          <w:kern w:val="0"/>
          <w:sz w:val="32"/>
          <w:szCs w:val="32"/>
          <w:lang w:val="en-US" w:eastAsia="zh-CN" w:bidi="ar"/>
          <w14:textFill>
            <w14:solidFill>
              <w14:schemeClr w14:val="tx1"/>
            </w14:solidFill>
          </w14:textFill>
        </w:rPr>
        <w:t>做好</w:t>
      </w:r>
      <w:r>
        <w:rPr>
          <w:rFonts w:hint="eastAsia" w:ascii="仿宋_GB2312" w:hAnsi="仿宋_GB2312" w:eastAsia="仿宋_GB2312" w:cs="仿宋_GB2312"/>
          <w:b w:val="0"/>
          <w:bCs w:val="0"/>
          <w:color w:val="000000"/>
          <w:kern w:val="0"/>
          <w:sz w:val="32"/>
          <w:szCs w:val="32"/>
        </w:rPr>
        <w:t>源头控制</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color w:val="000000"/>
          <w:sz w:val="32"/>
          <w:szCs w:val="32"/>
        </w:rPr>
        <w:t>对</w:t>
      </w:r>
      <w:r>
        <w:rPr>
          <w:rFonts w:hint="eastAsia" w:ascii="仿宋_GB2312" w:hAnsi="仿宋_GB2312" w:eastAsia="仿宋_GB2312" w:cs="仿宋_GB2312"/>
          <w:color w:val="000000"/>
          <w:sz w:val="32"/>
          <w:szCs w:val="32"/>
          <w:lang w:val="en-US" w:eastAsia="zh-CN"/>
        </w:rPr>
        <w:t>危废暂存场所等</w:t>
      </w:r>
      <w:r>
        <w:rPr>
          <w:rFonts w:hint="eastAsia" w:ascii="仿宋_GB2312" w:hAnsi="仿宋_GB2312" w:eastAsia="仿宋_GB2312" w:cs="仿宋_GB2312"/>
          <w:color w:val="000000"/>
          <w:sz w:val="32"/>
          <w:szCs w:val="32"/>
        </w:rPr>
        <w:t>采取相应的防护措施，防止污染物跑、冒、滴、漏，将污染物泄漏的环境风险事故降到最低程度</w:t>
      </w:r>
      <w:r>
        <w:rPr>
          <w:rFonts w:hint="eastAsia" w:ascii="仿宋_GB2312" w:hAnsi="仿宋_GB2312" w:eastAsia="仿宋_GB2312" w:cs="仿宋_GB2312"/>
          <w:color w:val="000000"/>
          <w:sz w:val="32"/>
          <w:szCs w:val="32"/>
          <w:lang w:val="zh-CN"/>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lang w:eastAsia="zh-CN"/>
        </w:rPr>
        <w:t>做好</w:t>
      </w:r>
      <w:r>
        <w:rPr>
          <w:rFonts w:hint="eastAsia" w:ascii="仿宋_GB2312" w:hAnsi="仿宋_GB2312" w:eastAsia="仿宋_GB2312" w:cs="仿宋_GB2312"/>
          <w:color w:val="000000"/>
          <w:kern w:val="0"/>
          <w:sz w:val="32"/>
          <w:szCs w:val="32"/>
        </w:rPr>
        <w:t>分区防控</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b w:val="0"/>
          <w:bCs w:val="0"/>
          <w:color w:val="000000"/>
          <w:kern w:val="0"/>
          <w:sz w:val="32"/>
          <w:szCs w:val="32"/>
          <w:lang w:eastAsia="zh-CN"/>
        </w:rPr>
        <w:t>项目</w:t>
      </w:r>
      <w:r>
        <w:rPr>
          <w:rFonts w:hint="eastAsia" w:ascii="仿宋_GB2312" w:hAnsi="仿宋_GB2312" w:eastAsia="仿宋_GB2312" w:cs="仿宋_GB2312"/>
          <w:b w:val="0"/>
          <w:bCs w:val="0"/>
          <w:color w:val="000000"/>
          <w:kern w:val="0"/>
          <w:sz w:val="32"/>
          <w:szCs w:val="32"/>
        </w:rPr>
        <w:t>重点防渗区包括辅料区、生产废水处理设施</w:t>
      </w:r>
      <w:r>
        <w:rPr>
          <w:rFonts w:hint="eastAsia" w:ascii="仿宋_GB2312" w:hAnsi="仿宋_GB2312" w:eastAsia="仿宋_GB2312" w:cs="仿宋_GB2312"/>
          <w:b w:val="0"/>
          <w:bCs w:val="0"/>
          <w:color w:val="000000"/>
          <w:kern w:val="0"/>
          <w:sz w:val="32"/>
          <w:szCs w:val="32"/>
          <w:lang w:eastAsia="zh-CN"/>
        </w:rPr>
        <w:t>和</w:t>
      </w:r>
      <w:r>
        <w:rPr>
          <w:rFonts w:hint="eastAsia" w:ascii="仿宋_GB2312" w:hAnsi="仿宋_GB2312" w:eastAsia="仿宋_GB2312" w:cs="仿宋_GB2312"/>
          <w:b w:val="0"/>
          <w:bCs w:val="0"/>
          <w:color w:val="000000"/>
          <w:kern w:val="0"/>
          <w:sz w:val="32"/>
          <w:szCs w:val="32"/>
        </w:rPr>
        <w:t>危险废物</w:t>
      </w:r>
      <w:r>
        <w:rPr>
          <w:rFonts w:hint="eastAsia" w:ascii="仿宋_GB2312" w:hAnsi="仿宋_GB2312" w:eastAsia="仿宋_GB2312" w:cs="仿宋_GB2312"/>
          <w:b w:val="0"/>
          <w:bCs w:val="0"/>
          <w:color w:val="000000"/>
          <w:kern w:val="0"/>
          <w:sz w:val="32"/>
          <w:szCs w:val="32"/>
          <w:lang w:eastAsia="zh-CN"/>
        </w:rPr>
        <w:t>暂存库，危险废物暂存库</w:t>
      </w:r>
      <w:r>
        <w:rPr>
          <w:rFonts w:hint="eastAsia" w:ascii="仿宋_GB2312" w:hAnsi="仿宋_GB2312" w:eastAsia="仿宋_GB2312" w:cs="仿宋_GB2312"/>
          <w:b w:val="0"/>
          <w:bCs w:val="0"/>
          <w:color w:val="000000"/>
          <w:kern w:val="0"/>
          <w:sz w:val="32"/>
          <w:szCs w:val="32"/>
        </w:rPr>
        <w:t>防渗层</w:t>
      </w:r>
      <w:r>
        <w:rPr>
          <w:rFonts w:hint="eastAsia" w:ascii="仿宋_GB2312" w:hAnsi="仿宋_GB2312" w:eastAsia="仿宋_GB2312" w:cs="仿宋_GB2312"/>
          <w:b w:val="0"/>
          <w:bCs w:val="0"/>
          <w:color w:val="000000"/>
          <w:kern w:val="0"/>
          <w:sz w:val="32"/>
          <w:szCs w:val="32"/>
          <w:lang w:eastAsia="zh-CN"/>
        </w:rPr>
        <w:t>满足</w:t>
      </w:r>
      <w:r>
        <w:rPr>
          <w:rFonts w:hint="eastAsia" w:ascii="仿宋_GB2312" w:hAnsi="仿宋_GB2312" w:eastAsia="仿宋_GB2312" w:cs="仿宋_GB2312"/>
          <w:b w:val="0"/>
          <w:bCs w:val="0"/>
          <w:color w:val="000000"/>
          <w:kern w:val="0"/>
          <w:sz w:val="32"/>
          <w:szCs w:val="32"/>
        </w:rPr>
        <w:t>《危险废物贮存控制标准》（GB18597-20</w:t>
      </w:r>
      <w:r>
        <w:rPr>
          <w:rFonts w:hint="eastAsia" w:ascii="仿宋_GB2312" w:hAnsi="仿宋_GB2312" w:eastAsia="仿宋_GB2312" w:cs="仿宋_GB2312"/>
          <w:b w:val="0"/>
          <w:bCs w:val="0"/>
          <w:color w:val="000000"/>
          <w:kern w:val="0"/>
          <w:sz w:val="32"/>
          <w:szCs w:val="32"/>
          <w:lang w:val="en-US" w:eastAsia="zh-CN"/>
        </w:rPr>
        <w:t>23</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color w:val="000000"/>
          <w:kern w:val="0"/>
          <w:sz w:val="32"/>
          <w:szCs w:val="32"/>
          <w:lang w:eastAsia="zh-CN"/>
        </w:rPr>
        <w:t>要求，</w:t>
      </w:r>
      <w:r>
        <w:rPr>
          <w:rFonts w:hint="eastAsia" w:ascii="仿宋_GB2312" w:hAnsi="仿宋_GB2312" w:eastAsia="仿宋_GB2312" w:cs="仿宋_GB2312"/>
          <w:b w:val="0"/>
          <w:bCs w:val="0"/>
          <w:color w:val="000000"/>
          <w:kern w:val="0"/>
          <w:sz w:val="32"/>
          <w:szCs w:val="32"/>
          <w:lang w:val="en-US" w:eastAsia="zh-CN"/>
        </w:rPr>
        <w:t>其他重点防渗区</w:t>
      </w:r>
      <w:r>
        <w:rPr>
          <w:rFonts w:hint="eastAsia" w:ascii="仿宋_GB2312" w:hAnsi="仿宋_GB2312" w:eastAsia="仿宋_GB2312" w:cs="仿宋_GB2312"/>
          <w:b w:val="0"/>
          <w:bCs w:val="0"/>
          <w:color w:val="000000"/>
          <w:kern w:val="0"/>
          <w:sz w:val="32"/>
          <w:szCs w:val="32"/>
          <w:lang w:eastAsia="zh-CN"/>
        </w:rPr>
        <w:t>的防渗性能满足不低于6m厚渗透系数为10</w:t>
      </w:r>
      <w:r>
        <w:rPr>
          <w:rFonts w:hint="eastAsia" w:ascii="仿宋_GB2312" w:hAnsi="仿宋_GB2312" w:eastAsia="仿宋_GB2312" w:cs="仿宋_GB2312"/>
          <w:b w:val="0"/>
          <w:bCs w:val="0"/>
          <w:color w:val="000000"/>
          <w:kern w:val="0"/>
          <w:sz w:val="32"/>
          <w:szCs w:val="32"/>
          <w:highlight w:val="none"/>
          <w:vertAlign w:val="superscript"/>
          <w:lang w:eastAsia="zh-CN"/>
        </w:rPr>
        <w:t>-</w:t>
      </w:r>
      <w:r>
        <w:rPr>
          <w:rFonts w:hint="eastAsia" w:ascii="仿宋_GB2312" w:hAnsi="仿宋_GB2312" w:eastAsia="仿宋_GB2312" w:cs="仿宋_GB2312"/>
          <w:b w:val="0"/>
          <w:bCs w:val="0"/>
          <w:color w:val="000000"/>
          <w:kern w:val="0"/>
          <w:sz w:val="32"/>
          <w:szCs w:val="32"/>
          <w:vertAlign w:val="superscript"/>
          <w:lang w:eastAsia="zh-CN"/>
        </w:rPr>
        <w:t>7</w:t>
      </w:r>
      <w:r>
        <w:rPr>
          <w:rFonts w:hint="eastAsia" w:ascii="仿宋_GB2312" w:hAnsi="仿宋_GB2312" w:eastAsia="仿宋_GB2312" w:cs="仿宋_GB2312"/>
          <w:b w:val="0"/>
          <w:bCs w:val="0"/>
          <w:color w:val="000000"/>
          <w:kern w:val="0"/>
          <w:sz w:val="32"/>
          <w:szCs w:val="32"/>
          <w:lang w:eastAsia="zh-CN"/>
        </w:rPr>
        <w:t>cm/s的防渗性能要求</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一般防渗区包括一般固废</w:t>
      </w:r>
      <w:r>
        <w:rPr>
          <w:rFonts w:hint="eastAsia" w:ascii="仿宋_GB2312" w:hAnsi="仿宋_GB2312" w:eastAsia="仿宋_GB2312" w:cs="仿宋_GB2312"/>
          <w:b w:val="0"/>
          <w:bCs w:val="0"/>
          <w:color w:val="000000"/>
          <w:sz w:val="32"/>
          <w:szCs w:val="32"/>
          <w:lang w:eastAsia="zh-CN"/>
        </w:rPr>
        <w:t>暂存库</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eastAsia="zh-CN"/>
        </w:rPr>
        <w:t>冲压车间、</w:t>
      </w:r>
      <w:r>
        <w:rPr>
          <w:rFonts w:hint="eastAsia" w:ascii="仿宋_GB2312" w:hAnsi="仿宋_GB2312" w:eastAsia="仿宋_GB2312" w:cs="仿宋_GB2312"/>
          <w:b w:val="0"/>
          <w:bCs w:val="0"/>
          <w:color w:val="000000"/>
          <w:sz w:val="32"/>
          <w:szCs w:val="32"/>
          <w:lang w:val="en-US" w:eastAsia="zh-CN"/>
        </w:rPr>
        <w:t>1#厂房2楼生产区、隔油池、化粪池</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一般</w:t>
      </w:r>
      <w:r>
        <w:rPr>
          <w:rFonts w:hint="eastAsia" w:ascii="仿宋_GB2312" w:hAnsi="仿宋_GB2312" w:eastAsia="仿宋_GB2312" w:cs="仿宋_GB2312"/>
          <w:b w:val="0"/>
          <w:bCs w:val="0"/>
          <w:color w:val="000000"/>
          <w:sz w:val="32"/>
          <w:szCs w:val="32"/>
          <w:lang w:eastAsia="zh-CN"/>
        </w:rPr>
        <w:t>防渗</w:t>
      </w:r>
      <w:r>
        <w:rPr>
          <w:rFonts w:hint="eastAsia" w:ascii="仿宋_GB2312" w:hAnsi="仿宋_GB2312" w:eastAsia="仿宋_GB2312" w:cs="仿宋_GB2312"/>
          <w:b w:val="0"/>
          <w:bCs w:val="0"/>
          <w:color w:val="000000"/>
          <w:sz w:val="32"/>
          <w:szCs w:val="32"/>
        </w:rPr>
        <w:t>区各单元防渗层渗透系数≤10</w:t>
      </w:r>
      <w:r>
        <w:rPr>
          <w:rFonts w:hint="eastAsia" w:ascii="仿宋_GB2312" w:hAnsi="仿宋_GB2312" w:eastAsia="仿宋_GB2312" w:cs="仿宋_GB2312"/>
          <w:b w:val="0"/>
          <w:bCs w:val="0"/>
          <w:color w:val="000000"/>
          <w:sz w:val="32"/>
          <w:szCs w:val="32"/>
          <w:highlight w:val="none"/>
          <w:vertAlign w:val="superscript"/>
        </w:rPr>
        <w:t>-</w:t>
      </w:r>
      <w:r>
        <w:rPr>
          <w:rFonts w:hint="eastAsia" w:ascii="仿宋_GB2312" w:hAnsi="仿宋_GB2312" w:eastAsia="仿宋_GB2312" w:cs="仿宋_GB2312"/>
          <w:b w:val="0"/>
          <w:bCs w:val="0"/>
          <w:color w:val="000000"/>
          <w:sz w:val="32"/>
          <w:szCs w:val="32"/>
          <w:vertAlign w:val="superscript"/>
        </w:rPr>
        <w:t>7</w:t>
      </w:r>
      <w:r>
        <w:rPr>
          <w:rFonts w:hint="eastAsia" w:ascii="仿宋_GB2312" w:hAnsi="仿宋_GB2312" w:eastAsia="仿宋_GB2312" w:cs="仿宋_GB2312"/>
          <w:b w:val="0"/>
          <w:bCs w:val="0"/>
          <w:color w:val="000000"/>
          <w:sz w:val="32"/>
          <w:szCs w:val="32"/>
        </w:rPr>
        <w:t>cm/s</w:t>
      </w:r>
      <w:r>
        <w:rPr>
          <w:rFonts w:hint="eastAsia" w:ascii="仿宋_GB2312" w:hAnsi="仿宋_GB2312" w:eastAsia="仿宋_GB2312" w:cs="仿宋_GB2312"/>
          <w:b w:val="0"/>
          <w:bCs w:val="0"/>
          <w:color w:val="000000"/>
          <w:kern w:val="0"/>
          <w:sz w:val="32"/>
          <w:szCs w:val="32"/>
          <w:lang w:eastAsia="zh-CN"/>
        </w:rPr>
        <w:t>的防渗性能要求</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简单防渗区包括</w:t>
      </w:r>
      <w:r>
        <w:rPr>
          <w:rFonts w:hint="eastAsia" w:ascii="仿宋_GB2312" w:hAnsi="仿宋_GB2312" w:eastAsia="仿宋_GB2312" w:cs="仿宋_GB2312"/>
          <w:color w:val="000000"/>
          <w:sz w:val="32"/>
          <w:szCs w:val="32"/>
          <w:lang w:eastAsia="zh-CN"/>
        </w:rPr>
        <w:t>宿舍楼、成品仓库和</w:t>
      </w:r>
      <w:r>
        <w:rPr>
          <w:rFonts w:hint="eastAsia" w:ascii="仿宋_GB2312" w:hAnsi="仿宋_GB2312" w:eastAsia="仿宋_GB2312" w:cs="仿宋_GB2312"/>
          <w:color w:val="000000"/>
          <w:sz w:val="32"/>
          <w:szCs w:val="32"/>
          <w:lang w:val="en-US" w:eastAsia="zh-CN"/>
        </w:rPr>
        <w:t>1#厂房</w:t>
      </w:r>
      <w:r>
        <w:rPr>
          <w:rFonts w:hint="eastAsia" w:ascii="仿宋_GB2312" w:hAnsi="仿宋_GB2312" w:eastAsia="仿宋_GB2312" w:cs="仿宋_GB2312"/>
          <w:color w:val="000000"/>
          <w:sz w:val="32"/>
          <w:szCs w:val="32"/>
          <w:lang w:eastAsia="zh-CN"/>
        </w:rPr>
        <w:t>检测区、办公区，</w:t>
      </w:r>
      <w:r>
        <w:rPr>
          <w:rFonts w:hint="eastAsia" w:ascii="仿宋_GB2312" w:hAnsi="仿宋_GB2312" w:eastAsia="仿宋_GB2312" w:cs="仿宋_GB2312"/>
          <w:color w:val="000000"/>
          <w:sz w:val="32"/>
          <w:szCs w:val="32"/>
        </w:rPr>
        <w:t>地面</w:t>
      </w:r>
      <w:r>
        <w:rPr>
          <w:rFonts w:hint="eastAsia" w:ascii="仿宋_GB2312" w:hAnsi="仿宋_GB2312" w:eastAsia="仿宋_GB2312" w:cs="仿宋_GB2312"/>
          <w:color w:val="000000"/>
          <w:sz w:val="32"/>
          <w:szCs w:val="32"/>
          <w:lang w:eastAsia="zh-CN"/>
        </w:rPr>
        <w:t>进行水泥</w:t>
      </w:r>
      <w:r>
        <w:rPr>
          <w:rFonts w:hint="eastAsia" w:ascii="仿宋_GB2312" w:hAnsi="仿宋_GB2312" w:eastAsia="仿宋_GB2312" w:cs="仿宋_GB2312"/>
          <w:color w:val="000000"/>
          <w:sz w:val="32"/>
          <w:szCs w:val="32"/>
        </w:rPr>
        <w:t>硬化处理</w:t>
      </w:r>
      <w:r>
        <w:rPr>
          <w:rFonts w:hint="eastAsia" w:ascii="仿宋_GB2312" w:hAnsi="仿宋_GB2312" w:eastAsia="仿宋_GB2312" w:cs="仿宋_GB2312"/>
          <w:kern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59" w:firstLineChars="200"/>
        <w:textAlignment w:val="auto"/>
        <w:rPr>
          <w:rFonts w:hint="eastAsia" w:ascii="仿宋_GB2312" w:hAnsi="仿宋_GB2312" w:eastAsia="仿宋_GB2312" w:cs="仿宋_GB2312"/>
          <w:kern w:val="0"/>
          <w:sz w:val="32"/>
          <w:szCs w:val="32"/>
          <w:lang w:val="en-GB"/>
        </w:rPr>
      </w:pPr>
      <w:r>
        <w:rPr>
          <w:rFonts w:hint="eastAsia" w:ascii="仿宋_GB2312" w:hAnsi="仿宋_GB2312" w:eastAsia="仿宋_GB2312" w:cs="仿宋_GB2312"/>
          <w:b/>
          <w:bCs/>
          <w:spacing w:val="4"/>
          <w:kern w:val="18"/>
          <w:sz w:val="32"/>
          <w:szCs w:val="32"/>
          <w:lang w:val="en-US" w:eastAsia="zh-CN" w:bidi="ar-SA"/>
        </w:rPr>
        <w:t>（七）严格落实环境风险防范措施。</w:t>
      </w:r>
      <w:r>
        <w:rPr>
          <w:rFonts w:hint="eastAsia" w:ascii="仿宋_GB2312" w:hAnsi="仿宋_GB2312" w:eastAsia="仿宋_GB2312" w:cs="仿宋_GB2312"/>
          <w:color w:val="000000"/>
          <w:kern w:val="0"/>
          <w:sz w:val="32"/>
          <w:szCs w:val="32"/>
          <w:lang w:eastAsia="zh-CN"/>
        </w:rPr>
        <w:t>项目的危险单元主要为辅料区、危险废物暂存库及天然气管道等，</w:t>
      </w:r>
      <w:r>
        <w:rPr>
          <w:rFonts w:hint="eastAsia" w:ascii="仿宋_GB2312" w:hAnsi="仿宋_GB2312" w:eastAsia="仿宋_GB2312" w:cs="仿宋_GB2312"/>
          <w:color w:val="000000"/>
          <w:kern w:val="0"/>
          <w:sz w:val="32"/>
          <w:szCs w:val="32"/>
        </w:rPr>
        <w:t>涉及的危险</w:t>
      </w:r>
      <w:bookmarkStart w:id="1" w:name="_GoBack"/>
      <w:bookmarkEnd w:id="1"/>
      <w:r>
        <w:rPr>
          <w:rFonts w:hint="eastAsia" w:ascii="仿宋_GB2312" w:hAnsi="仿宋_GB2312" w:eastAsia="仿宋_GB2312" w:cs="仿宋_GB2312"/>
          <w:color w:val="000000"/>
          <w:kern w:val="0"/>
          <w:sz w:val="32"/>
          <w:szCs w:val="32"/>
          <w:highlight w:val="none"/>
          <w:lang w:eastAsia="zh-CN"/>
        </w:rPr>
        <w:t>物质</w:t>
      </w:r>
      <w:r>
        <w:rPr>
          <w:rFonts w:hint="eastAsia" w:ascii="仿宋_GB2312" w:hAnsi="仿宋_GB2312" w:eastAsia="仿宋_GB2312" w:cs="仿宋_GB2312"/>
          <w:color w:val="000000"/>
          <w:kern w:val="0"/>
          <w:sz w:val="32"/>
          <w:szCs w:val="32"/>
        </w:rPr>
        <w:t>主要有环保油墨、洗网水、切削液、废机油、废切削液、天然气（甲烷）等</w:t>
      </w:r>
      <w:r>
        <w:rPr>
          <w:rFonts w:hint="eastAsia" w:ascii="仿宋_GB2312" w:hAnsi="仿宋_GB2312" w:eastAsia="仿宋_GB2312" w:cs="仿宋_GB2312"/>
          <w:color w:val="000000"/>
          <w:kern w:val="0"/>
          <w:sz w:val="32"/>
          <w:szCs w:val="32"/>
          <w:lang w:val="en-US" w:eastAsia="zh-CN"/>
        </w:rPr>
        <w:t>。项目</w:t>
      </w:r>
      <w:r>
        <w:rPr>
          <w:rFonts w:hint="eastAsia" w:ascii="仿宋_GB2312" w:hAnsi="仿宋_GB2312" w:eastAsia="仿宋_GB2312" w:cs="仿宋_GB2312"/>
          <w:color w:val="000000"/>
          <w:kern w:val="0"/>
          <w:sz w:val="32"/>
          <w:szCs w:val="32"/>
        </w:rPr>
        <w:t>通过</w:t>
      </w:r>
      <w:r>
        <w:rPr>
          <w:rFonts w:hint="eastAsia" w:ascii="仿宋_GB2312" w:hAnsi="仿宋_GB2312" w:eastAsia="仿宋_GB2312" w:cs="仿宋_GB2312"/>
          <w:color w:val="000000"/>
          <w:sz w:val="32"/>
          <w:szCs w:val="32"/>
        </w:rPr>
        <w:t>贮存</w:t>
      </w:r>
      <w:r>
        <w:rPr>
          <w:rFonts w:hint="eastAsia" w:ascii="仿宋_GB2312" w:hAnsi="仿宋_GB2312" w:eastAsia="仿宋_GB2312" w:cs="仿宋_GB2312"/>
          <w:color w:val="000000"/>
          <w:sz w:val="32"/>
          <w:szCs w:val="32"/>
          <w:lang w:eastAsia="zh-CN"/>
        </w:rPr>
        <w:t>过程风险</w:t>
      </w:r>
      <w:r>
        <w:rPr>
          <w:rFonts w:hint="eastAsia" w:ascii="仿宋_GB2312" w:hAnsi="仿宋_GB2312" w:eastAsia="仿宋_GB2312" w:cs="仿宋_GB2312"/>
          <w:color w:val="000000"/>
          <w:sz w:val="32"/>
          <w:szCs w:val="32"/>
        </w:rPr>
        <w:t>防范、</w:t>
      </w:r>
      <w:r>
        <w:rPr>
          <w:rFonts w:hint="eastAsia" w:ascii="仿宋_GB2312" w:hAnsi="仿宋_GB2312" w:eastAsia="仿宋_GB2312" w:cs="仿宋_GB2312"/>
          <w:color w:val="000000"/>
          <w:sz w:val="32"/>
          <w:szCs w:val="32"/>
          <w:lang w:eastAsia="zh-CN"/>
        </w:rPr>
        <w:t>事故排放风险防范、火灾风险防范和铝粉尘爆炸事故风险防范等</w:t>
      </w:r>
      <w:r>
        <w:rPr>
          <w:rFonts w:hint="eastAsia" w:ascii="仿宋_GB2312" w:hAnsi="仿宋_GB2312" w:eastAsia="仿宋_GB2312" w:cs="仿宋_GB2312"/>
          <w:color w:val="000000"/>
          <w:sz w:val="32"/>
          <w:szCs w:val="32"/>
        </w:rPr>
        <w:t>措施</w:t>
      </w:r>
      <w:r>
        <w:rPr>
          <w:rFonts w:hint="eastAsia" w:ascii="仿宋_GB2312" w:hAnsi="仿宋_GB2312" w:eastAsia="仿宋_GB2312" w:cs="仿宋_GB2312"/>
          <w:color w:val="000000"/>
          <w:sz w:val="32"/>
          <w:szCs w:val="32"/>
          <w:lang w:eastAsia="zh-CN"/>
        </w:rPr>
        <w:t>，制定完善、有效的突发环境事件应急预案</w:t>
      </w:r>
      <w:r>
        <w:rPr>
          <w:rFonts w:hint="eastAsia" w:ascii="仿宋_GB2312" w:hAnsi="仿宋_GB2312" w:eastAsia="仿宋_GB2312" w:cs="仿宋_GB2312"/>
          <w:color w:val="000000"/>
          <w:kern w:val="0"/>
          <w:sz w:val="32"/>
          <w:szCs w:val="32"/>
        </w:rPr>
        <w:t>，有效防控环境风险</w:t>
      </w:r>
      <w:r>
        <w:rPr>
          <w:rFonts w:hint="eastAsia" w:ascii="仿宋_GB2312" w:hAnsi="仿宋_GB2312" w:eastAsia="仿宋_GB2312" w:cs="仿宋_GB2312"/>
          <w:kern w:val="0"/>
          <w:sz w:val="32"/>
          <w:szCs w:val="32"/>
          <w:lang w:val="en-GB"/>
        </w:rPr>
        <w:t>。</w:t>
      </w:r>
    </w:p>
    <w:p>
      <w:pPr>
        <w:pStyle w:val="7"/>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kern w:val="2"/>
          <w:sz w:val="32"/>
          <w:szCs w:val="32"/>
          <w:lang w:val="en-GB" w:eastAsia="zh-CN" w:bidi="ar-SA"/>
        </w:rPr>
      </w:pPr>
      <w:r>
        <w:rPr>
          <w:rFonts w:hint="eastAsia" w:ascii="仿宋_GB2312" w:hAnsi="仿宋_GB2312" w:eastAsia="仿宋_GB2312" w:cs="仿宋_GB2312"/>
          <w:b/>
          <w:bCs/>
          <w:kern w:val="2"/>
          <w:sz w:val="32"/>
          <w:szCs w:val="32"/>
          <w:lang w:val="en-US" w:eastAsia="zh-CN" w:bidi="ar-SA"/>
        </w:rPr>
        <w:t>（八）严格落实卫生防护距离。</w:t>
      </w:r>
      <w:r>
        <w:rPr>
          <w:rFonts w:hint="eastAsia" w:ascii="仿宋_GB2312" w:hAnsi="仿宋_GB2312" w:eastAsia="仿宋_GB2312" w:cs="仿宋_GB2312"/>
          <w:color w:val="000000"/>
          <w:sz w:val="32"/>
          <w:szCs w:val="32"/>
        </w:rPr>
        <w:t>项目卫生防护距离</w:t>
      </w:r>
      <w:r>
        <w:rPr>
          <w:rFonts w:hint="eastAsia" w:ascii="仿宋_GB2312" w:hAnsi="仿宋_GB2312" w:eastAsia="仿宋_GB2312" w:cs="仿宋_GB2312"/>
          <w:color w:val="000000"/>
          <w:sz w:val="32"/>
          <w:szCs w:val="32"/>
          <w:lang w:eastAsia="zh-CN"/>
        </w:rPr>
        <w:t>为</w:t>
      </w:r>
      <w:r>
        <w:rPr>
          <w:rFonts w:hint="eastAsia" w:ascii="仿宋_GB2312" w:hAnsi="仿宋_GB2312" w:eastAsia="仿宋_GB2312" w:cs="仿宋_GB2312"/>
          <w:color w:val="000000"/>
          <w:sz w:val="32"/>
          <w:szCs w:val="32"/>
        </w:rPr>
        <w:t>以</w:t>
      </w:r>
      <w:r>
        <w:rPr>
          <w:rFonts w:hint="eastAsia" w:ascii="仿宋_GB2312" w:hAnsi="仿宋_GB2312" w:eastAsia="仿宋_GB2312" w:cs="仿宋_GB2312"/>
          <w:color w:val="000000"/>
          <w:sz w:val="32"/>
          <w:szCs w:val="32"/>
          <w:lang w:eastAsia="zh-CN"/>
        </w:rPr>
        <w:t>冲压车间</w:t>
      </w:r>
      <w:r>
        <w:rPr>
          <w:rFonts w:hint="eastAsia" w:ascii="仿宋_GB2312" w:hAnsi="仿宋_GB2312" w:eastAsia="仿宋_GB2312" w:cs="仿宋_GB2312"/>
          <w:snapToGrid w:val="0"/>
          <w:color w:val="000000"/>
          <w:sz w:val="32"/>
          <w:szCs w:val="32"/>
          <w:lang w:val="en-US" w:eastAsia="zh-CN"/>
        </w:rPr>
        <w:t>和1#厂房</w:t>
      </w:r>
      <w:r>
        <w:rPr>
          <w:rFonts w:hint="eastAsia" w:ascii="仿宋_GB2312" w:hAnsi="仿宋_GB2312" w:eastAsia="仿宋_GB2312" w:cs="仿宋_GB2312"/>
          <w:color w:val="000000"/>
          <w:sz w:val="32"/>
          <w:szCs w:val="32"/>
        </w:rPr>
        <w:t>边界向外延伸50m</w:t>
      </w:r>
      <w:r>
        <w:rPr>
          <w:rFonts w:hint="eastAsia" w:ascii="仿宋_GB2312" w:hAnsi="仿宋_GB2312" w:eastAsia="仿宋_GB2312" w:cs="仿宋_GB2312"/>
          <w:color w:val="000000"/>
          <w:sz w:val="32"/>
          <w:szCs w:val="32"/>
          <w:lang w:eastAsia="zh-CN"/>
        </w:rPr>
        <w:t>范围</w:t>
      </w:r>
      <w:r>
        <w:rPr>
          <w:rFonts w:hint="eastAsia" w:ascii="仿宋_GB2312" w:hAnsi="仿宋_GB2312" w:eastAsia="仿宋_GB2312" w:cs="仿宋_GB2312"/>
          <w:color w:val="000000"/>
          <w:sz w:val="32"/>
          <w:szCs w:val="32"/>
        </w:rPr>
        <w:t>。根据现场调查，卫生防护距离内无居民、学校以及医院等</w:t>
      </w:r>
      <w:r>
        <w:rPr>
          <w:rFonts w:hint="eastAsia" w:ascii="仿宋_GB2312" w:hAnsi="仿宋_GB2312" w:eastAsia="仿宋_GB2312" w:cs="仿宋_GB2312"/>
          <w:color w:val="000000"/>
          <w:sz w:val="32"/>
          <w:szCs w:val="32"/>
          <w:lang w:val="en-US" w:eastAsia="zh-CN"/>
        </w:rPr>
        <w:t>对大气污染比较敏感的区域</w:t>
      </w:r>
      <w:r>
        <w:rPr>
          <w:rFonts w:hint="eastAsia" w:ascii="仿宋_GB2312" w:hAnsi="仿宋_GB2312" w:eastAsia="仿宋_GB2312" w:cs="仿宋_GB2312"/>
          <w:color w:val="000000"/>
          <w:sz w:val="32"/>
          <w:szCs w:val="32"/>
        </w:rPr>
        <w:t>，满足卫生防护距离的要求</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）提高管理和运营水平，加强非正常工况的生态环境保护工作。</w:t>
      </w:r>
      <w:r>
        <w:rPr>
          <w:rFonts w:hint="eastAsia" w:ascii="仿宋_GB2312" w:hAnsi="仿宋_GB2312" w:eastAsia="仿宋_GB2312" w:cs="仿宋_GB2312"/>
          <w:sz w:val="32"/>
          <w:szCs w:val="32"/>
        </w:rPr>
        <w:t>定期对环保处理设施进行检查、维护，加强设备管理，认真做好设备、管道、阀门的检查工作，降低非正常工况发生频次及污染物排放量。</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十</w:t>
      </w:r>
      <w:r>
        <w:rPr>
          <w:rFonts w:hint="eastAsia" w:ascii="仿宋_GB2312" w:hAnsi="仿宋_GB2312" w:eastAsia="仿宋_GB2312" w:cs="仿宋_GB2312"/>
          <w:b/>
          <w:bCs/>
          <w:sz w:val="32"/>
          <w:szCs w:val="32"/>
        </w:rPr>
        <w:t>）严格落实污染源和生态环境监测计划。</w:t>
      </w:r>
      <w:r>
        <w:rPr>
          <w:rFonts w:hint="eastAsia" w:ascii="仿宋_GB2312" w:hAnsi="仿宋_GB2312" w:eastAsia="仿宋_GB2312" w:cs="仿宋_GB2312"/>
          <w:sz w:val="32"/>
          <w:szCs w:val="32"/>
        </w:rPr>
        <w:t>按照相关标准和规定要求，开展长期环境监测，保存原始监测记录，定期向公众公布污染物排放监测结果。</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黑体" w:hAnsi="黑体" w:eastAsia="黑体" w:cs="黑体"/>
          <w:b/>
          <w:bCs w:val="0"/>
          <w:sz w:val="32"/>
          <w:szCs w:val="32"/>
        </w:rPr>
      </w:pPr>
      <w:r>
        <w:rPr>
          <w:rFonts w:hint="eastAsia" w:ascii="黑体" w:hAnsi="黑体" w:eastAsia="黑体" w:cs="黑体"/>
          <w:b/>
          <w:bCs w:val="0"/>
          <w:sz w:val="32"/>
          <w:szCs w:val="32"/>
        </w:rPr>
        <w:t>三、其他要求</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（一）项目建设须严格执行配套的环境保护设施与主体工程“三同时”制度。</w:t>
      </w:r>
      <w:r>
        <w:rPr>
          <w:rFonts w:hint="eastAsia" w:ascii="仿宋_GB2312" w:hAnsi="仿宋_GB2312" w:eastAsia="仿宋_GB2312" w:cs="仿宋_GB2312"/>
          <w:sz w:val="32"/>
          <w:szCs w:val="32"/>
        </w:rPr>
        <w:t>按规定程序开展环境保护设施竣工自主验收，合格后方可正式投入运行。加强重点环保设备设计、施工、运行安全管理。环</w:t>
      </w:r>
      <w:r>
        <w:rPr>
          <w:rFonts w:hint="eastAsia" w:ascii="仿宋_GB2312" w:hAnsi="仿宋_GB2312" w:eastAsia="仿宋_GB2312" w:cs="仿宋_GB2312"/>
          <w:color w:val="000000" w:themeColor="text1"/>
          <w:sz w:val="32"/>
          <w:szCs w:val="32"/>
          <w14:textFill>
            <w14:solidFill>
              <w14:schemeClr w14:val="tx1"/>
            </w14:solidFill>
          </w14:textFill>
        </w:rPr>
        <w:t>境影响报告表经批准后，项目的性质、规模、地点、工艺或环境保护措施发生重大变动，应当重新报批环境影响报告表。自批准之日起超过五年后方开工建设的，环境影响报告表应当报审批部门重</w:t>
      </w:r>
      <w:r>
        <w:rPr>
          <w:rFonts w:hint="eastAsia" w:ascii="仿宋_GB2312" w:hAnsi="仿宋_GB2312" w:eastAsia="仿宋_GB2312" w:cs="仿宋_GB2312"/>
          <w:sz w:val="32"/>
          <w:szCs w:val="32"/>
        </w:rPr>
        <w:t>新审核。</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（二）积极主动配合接受生态环境主管部门的日常监督管理。</w:t>
      </w:r>
    </w:p>
    <w:p>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pStyle w:val="8"/>
        <w:keepNext w:val="0"/>
        <w:keepLines w:val="0"/>
        <w:pageBreakBefore w:val="0"/>
        <w:widowControl w:val="0"/>
        <w:kinsoku/>
        <w:wordWrap/>
        <w:overflowPunct/>
        <w:topLinePunct w:val="0"/>
        <w:autoSpaceDE/>
        <w:autoSpaceDN/>
        <w:bidi w:val="0"/>
        <w:spacing w:line="600" w:lineRule="exact"/>
        <w:ind w:left="0" w:leftChars="0" w:firstLine="0" w:firstLineChars="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600" w:lineRule="exact"/>
        <w:ind w:right="1216" w:rightChars="579"/>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上犹县行政审批局</w:t>
      </w:r>
    </w:p>
    <w:p>
      <w:pPr>
        <w:keepNext w:val="0"/>
        <w:keepLines w:val="0"/>
        <w:pageBreakBefore w:val="0"/>
        <w:widowControl w:val="0"/>
        <w:kinsoku/>
        <w:wordWrap/>
        <w:overflowPunct/>
        <w:topLinePunct w:val="0"/>
        <w:autoSpaceDE/>
        <w:autoSpaceDN/>
        <w:bidi w:val="0"/>
        <w:spacing w:line="600" w:lineRule="exact"/>
        <w:ind w:right="1216" w:rightChars="579" w:firstLine="4480" w:firstLineChars="14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w:t>
      </w:r>
    </w:p>
    <w:p>
      <w:pPr>
        <w:pStyle w:val="2"/>
        <w:keepNext w:val="0"/>
        <w:keepLines w:val="0"/>
        <w:pageBreakBefore w:val="0"/>
        <w:widowControl w:val="0"/>
        <w:kinsoku/>
        <w:wordWrap/>
        <w:overflowPunct/>
        <w:topLinePunct w:val="0"/>
        <w:bidi w:val="0"/>
        <w:spacing w:line="620" w:lineRule="exact"/>
        <w:textAlignment w:val="auto"/>
        <w:rPr>
          <w:rFonts w:ascii="Calibri" w:eastAsia="宋体" w:cs="Times New Roman"/>
        </w:rPr>
      </w:pPr>
    </w:p>
    <w:p>
      <w:pPr>
        <w:rPr>
          <w:rFonts w:ascii="Calibri" w:eastAsia="宋体" w:cs="Times New Roman"/>
        </w:rPr>
      </w:pPr>
    </w:p>
    <w:p>
      <w:pPr>
        <w:pStyle w:val="7"/>
        <w:rPr>
          <w:rFonts w:ascii="Calibri" w:eastAsia="宋体" w:cs="Times New Roman"/>
        </w:rPr>
      </w:pPr>
    </w:p>
    <w:p>
      <w:pPr>
        <w:rPr>
          <w:rFonts w:ascii="Calibri" w:eastAsia="宋体" w:cs="Times New Roman"/>
        </w:rPr>
      </w:pPr>
    </w:p>
    <w:p>
      <w:pPr>
        <w:pStyle w:val="7"/>
        <w:rPr>
          <w:rFonts w:ascii="Calibri" w:eastAsia="宋体" w:cs="Times New Roman"/>
        </w:rPr>
      </w:pPr>
    </w:p>
    <w:p>
      <w:pPr>
        <w:rPr>
          <w:rFonts w:ascii="Calibri" w:eastAsia="宋体" w:cs="Times New Roman"/>
        </w:rPr>
      </w:pPr>
    </w:p>
    <w:p>
      <w:pPr>
        <w:pStyle w:val="7"/>
        <w:rPr>
          <w:rFonts w:ascii="Calibri" w:eastAsia="宋体" w:cs="Times New Roman"/>
        </w:rPr>
      </w:pPr>
    </w:p>
    <w:p>
      <w:pPr>
        <w:rPr>
          <w:rFonts w:ascii="Calibri" w:eastAsia="宋体" w:cs="Times New Roman"/>
        </w:rPr>
      </w:pPr>
    </w:p>
    <w:p>
      <w:pPr>
        <w:pStyle w:val="7"/>
        <w:rPr>
          <w:rFonts w:ascii="Calibri" w:eastAsia="宋体" w:cs="Times New Roman"/>
        </w:rPr>
      </w:pPr>
    </w:p>
    <w:p>
      <w:pPr>
        <w:rPr>
          <w:rFonts w:ascii="Calibri" w:eastAsia="宋体" w:cs="Times New Roman"/>
        </w:rPr>
      </w:pPr>
    </w:p>
    <w:p>
      <w:pPr>
        <w:pStyle w:val="7"/>
        <w:rPr>
          <w:rFonts w:ascii="Calibri" w:eastAsia="宋体" w:cs="Times New Roman"/>
        </w:rPr>
      </w:pPr>
    </w:p>
    <w:p>
      <w:pPr>
        <w:keepNext w:val="0"/>
        <w:keepLines w:val="0"/>
        <w:pageBreakBefore w:val="0"/>
        <w:widowControl w:val="0"/>
        <w:kinsoku/>
        <w:wordWrap/>
        <w:overflowPunct/>
        <w:topLinePunct w:val="0"/>
        <w:bidi w:val="0"/>
        <w:adjustRightInd w:val="0"/>
        <w:snapToGrid w:val="0"/>
        <w:spacing w:line="620" w:lineRule="exact"/>
        <w:ind w:right="110"/>
        <w:textAlignment w:val="auto"/>
      </w:pPr>
    </w:p>
    <w:sectPr>
      <w:headerReference r:id="rId4" w:type="first"/>
      <w:footerReference r:id="rId7" w:type="first"/>
      <w:footerReference r:id="rId5" w:type="default"/>
      <w:headerReference r:id="rId3" w:type="even"/>
      <w:footerReference r:id="rId6" w:type="even"/>
      <w:pgSz w:w="11906" w:h="16838"/>
      <w:pgMar w:top="2098" w:right="1588"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tabs>
        <w:tab w:val="center" w:pos="4153"/>
        <w:tab w:val="right" w:pos="8306"/>
      </w:tabs>
      <w:snapToGrid w:val="0"/>
      <w:jc w:val="left"/>
      <w:rPr>
        <w:rFonts w:ascii="宋体" w:hAnsi="宋体" w:eastAsia="宋体" w:cs="Times New Roman"/>
        <w:sz w:val="28"/>
      </w:rPr>
    </w:pPr>
    <w:r>
      <w:rPr>
        <w:rFonts w:hint="eastAsia" w:ascii="宋体" w:hAnsi="宋体" w:eastAsia="宋体" w:cs="Times New Roman"/>
        <w:sz w:val="28"/>
      </w:rPr>
      <w:t xml:space="preserve">— </w:t>
    </w:r>
    <w:r>
      <w:rPr>
        <w:rFonts w:ascii="宋体" w:hAnsi="宋体" w:eastAsia="宋体" w:cs="Times New Roman"/>
        <w:sz w:val="28"/>
        <w:szCs w:val="28"/>
      </w:rPr>
      <w:fldChar w:fldCharType="begin"/>
    </w:r>
    <w:r>
      <w:rPr>
        <w:rFonts w:ascii="宋体" w:hAnsi="宋体" w:eastAsia="宋体" w:cs="Times New Roman"/>
        <w:sz w:val="28"/>
      </w:rPr>
      <w:instrText xml:space="preserve">PAGE  </w:instrText>
    </w:r>
    <w:r>
      <w:rPr>
        <w:rFonts w:ascii="宋体" w:hAnsi="宋体" w:eastAsia="宋体" w:cs="Times New Roman"/>
        <w:sz w:val="28"/>
        <w:szCs w:val="28"/>
      </w:rPr>
      <w:fldChar w:fldCharType="separate"/>
    </w:r>
    <w:r>
      <w:rPr>
        <w:rFonts w:ascii="宋体" w:hAnsi="宋体" w:eastAsia="宋体" w:cs="Times New Roman"/>
        <w:sz w:val="28"/>
      </w:rPr>
      <w:t>6</w:t>
    </w:r>
    <w:r>
      <w:rPr>
        <w:rFonts w:ascii="宋体" w:hAnsi="宋体" w:eastAsia="宋体" w:cs="Times New Roman"/>
        <w:sz w:val="28"/>
        <w:szCs w:val="28"/>
      </w:rPr>
      <w:fldChar w:fldCharType="end"/>
    </w:r>
    <w:r>
      <w:rPr>
        <w:rFonts w:hint="eastAsia" w:ascii="宋体" w:hAnsi="宋体" w:eastAsia="宋体" w:cs="Times New Roman"/>
        <w:sz w:val="28"/>
      </w:rPr>
      <w:t xml:space="preserve"> —</w:t>
    </w:r>
  </w:p>
  <w:p>
    <w:pPr>
      <w:tabs>
        <w:tab w:val="center" w:pos="4153"/>
        <w:tab w:val="right" w:pos="8306"/>
      </w:tabs>
      <w:snapToGrid w:val="0"/>
      <w:jc w:val="left"/>
      <w:rPr>
        <w:rFonts w:ascii="Calibri" w:hAnsi="Calibri" w:eastAsia="宋体"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8BECD20-EA2E-4231-B398-EECE0AA85E0C}" w:val="WICy2fzV/1raisKME7L0N9JwTqA+OvoUpbgxe=YPFD4SZXhHc5Bt6QR3ujnmklGd8"/>
    <w:docVar w:name="commondata" w:val="eyJoZGlkIjoiM2MyNGFiYjA5YTEzM2QwNGRjZjVjZGVlNDZjNDEzMmYifQ=="/>
    <w:docVar w:name="DocumentID" w:val="{C3AA9ED1-654F-411B-87B7-D79B1C3BD3A6}"/>
  </w:docVars>
  <w:rsids>
    <w:rsidRoot w:val="0B2339D8"/>
    <w:rsid w:val="005B57CB"/>
    <w:rsid w:val="00875A8C"/>
    <w:rsid w:val="00933F07"/>
    <w:rsid w:val="00B62AF2"/>
    <w:rsid w:val="02126066"/>
    <w:rsid w:val="032724C5"/>
    <w:rsid w:val="033E1F62"/>
    <w:rsid w:val="03C64650"/>
    <w:rsid w:val="03D120AF"/>
    <w:rsid w:val="0482210D"/>
    <w:rsid w:val="09970BEC"/>
    <w:rsid w:val="0A1524CD"/>
    <w:rsid w:val="0A3E1750"/>
    <w:rsid w:val="0A62550D"/>
    <w:rsid w:val="0A9F251E"/>
    <w:rsid w:val="0B2339D8"/>
    <w:rsid w:val="0BBE75D5"/>
    <w:rsid w:val="0C2D4F72"/>
    <w:rsid w:val="0CC23199"/>
    <w:rsid w:val="0CF438B1"/>
    <w:rsid w:val="0CF630C1"/>
    <w:rsid w:val="0D5F44D9"/>
    <w:rsid w:val="0E1419D5"/>
    <w:rsid w:val="0F2958F7"/>
    <w:rsid w:val="109C3E7E"/>
    <w:rsid w:val="11766588"/>
    <w:rsid w:val="11AE7D2B"/>
    <w:rsid w:val="11D547A3"/>
    <w:rsid w:val="12BB7E59"/>
    <w:rsid w:val="13794265"/>
    <w:rsid w:val="13822816"/>
    <w:rsid w:val="13CF0CBB"/>
    <w:rsid w:val="148024A0"/>
    <w:rsid w:val="1492500C"/>
    <w:rsid w:val="15CA205A"/>
    <w:rsid w:val="171A7074"/>
    <w:rsid w:val="192553CB"/>
    <w:rsid w:val="1AC84C92"/>
    <w:rsid w:val="1E757362"/>
    <w:rsid w:val="1E952C2C"/>
    <w:rsid w:val="1EA20892"/>
    <w:rsid w:val="1F3B1B5F"/>
    <w:rsid w:val="22023DA6"/>
    <w:rsid w:val="22790B8B"/>
    <w:rsid w:val="23334268"/>
    <w:rsid w:val="23C039F6"/>
    <w:rsid w:val="24237BA6"/>
    <w:rsid w:val="2480392B"/>
    <w:rsid w:val="24B22F90"/>
    <w:rsid w:val="25F93A28"/>
    <w:rsid w:val="269E6E6D"/>
    <w:rsid w:val="276A7175"/>
    <w:rsid w:val="27A02F3E"/>
    <w:rsid w:val="27C460E5"/>
    <w:rsid w:val="28BF6885"/>
    <w:rsid w:val="28E85990"/>
    <w:rsid w:val="294A7FAB"/>
    <w:rsid w:val="2A183F30"/>
    <w:rsid w:val="2B8F375C"/>
    <w:rsid w:val="2C8C3D4C"/>
    <w:rsid w:val="2D000CB4"/>
    <w:rsid w:val="2D71426B"/>
    <w:rsid w:val="2DB1779A"/>
    <w:rsid w:val="2F4E690C"/>
    <w:rsid w:val="30456075"/>
    <w:rsid w:val="31055E2A"/>
    <w:rsid w:val="31740D0A"/>
    <w:rsid w:val="333A69DB"/>
    <w:rsid w:val="33DE1D3F"/>
    <w:rsid w:val="357B3AB1"/>
    <w:rsid w:val="35B01CD3"/>
    <w:rsid w:val="35BC66ED"/>
    <w:rsid w:val="36D73558"/>
    <w:rsid w:val="37513B6C"/>
    <w:rsid w:val="385561F4"/>
    <w:rsid w:val="3980113F"/>
    <w:rsid w:val="3A646D91"/>
    <w:rsid w:val="3B484CF9"/>
    <w:rsid w:val="3B8400A3"/>
    <w:rsid w:val="3B962777"/>
    <w:rsid w:val="3D4F1D26"/>
    <w:rsid w:val="3D944009"/>
    <w:rsid w:val="3E8B1DB8"/>
    <w:rsid w:val="3E8C74FE"/>
    <w:rsid w:val="3F023231"/>
    <w:rsid w:val="3F1E7AFA"/>
    <w:rsid w:val="3F6935EF"/>
    <w:rsid w:val="40951D82"/>
    <w:rsid w:val="40E43FDA"/>
    <w:rsid w:val="44050D5F"/>
    <w:rsid w:val="44AB74EC"/>
    <w:rsid w:val="45D622C4"/>
    <w:rsid w:val="46615D65"/>
    <w:rsid w:val="47FF4360"/>
    <w:rsid w:val="481209F1"/>
    <w:rsid w:val="48DE6E3B"/>
    <w:rsid w:val="496A55CE"/>
    <w:rsid w:val="498020C2"/>
    <w:rsid w:val="4A9D3E59"/>
    <w:rsid w:val="4AE603C3"/>
    <w:rsid w:val="4CAD7E44"/>
    <w:rsid w:val="4D994433"/>
    <w:rsid w:val="4EE37D8E"/>
    <w:rsid w:val="4F6A7BD9"/>
    <w:rsid w:val="50386007"/>
    <w:rsid w:val="51B360B7"/>
    <w:rsid w:val="51F6099B"/>
    <w:rsid w:val="54210FB7"/>
    <w:rsid w:val="54843528"/>
    <w:rsid w:val="57D531B8"/>
    <w:rsid w:val="58FD3BCC"/>
    <w:rsid w:val="5951265A"/>
    <w:rsid w:val="5A2E3EE0"/>
    <w:rsid w:val="5B070720"/>
    <w:rsid w:val="5B860DB6"/>
    <w:rsid w:val="5BB622D7"/>
    <w:rsid w:val="5BF7644F"/>
    <w:rsid w:val="5E8446B6"/>
    <w:rsid w:val="5F034385"/>
    <w:rsid w:val="5FC06BDC"/>
    <w:rsid w:val="655B4B37"/>
    <w:rsid w:val="65BD10BF"/>
    <w:rsid w:val="66B728F2"/>
    <w:rsid w:val="6798174A"/>
    <w:rsid w:val="67A3767F"/>
    <w:rsid w:val="68231D95"/>
    <w:rsid w:val="68B612FB"/>
    <w:rsid w:val="69187931"/>
    <w:rsid w:val="692A2AC2"/>
    <w:rsid w:val="697F0366"/>
    <w:rsid w:val="6A8B4733"/>
    <w:rsid w:val="6C3B55DF"/>
    <w:rsid w:val="6F36414A"/>
    <w:rsid w:val="702F4147"/>
    <w:rsid w:val="70334665"/>
    <w:rsid w:val="716B67CD"/>
    <w:rsid w:val="724E6E49"/>
    <w:rsid w:val="72E55E4A"/>
    <w:rsid w:val="73012361"/>
    <w:rsid w:val="73263AC3"/>
    <w:rsid w:val="739A4B33"/>
    <w:rsid w:val="74501897"/>
    <w:rsid w:val="74F576E6"/>
    <w:rsid w:val="75BB3DC8"/>
    <w:rsid w:val="76A72047"/>
    <w:rsid w:val="76D91737"/>
    <w:rsid w:val="786C6A7C"/>
    <w:rsid w:val="7B064EFC"/>
    <w:rsid w:val="7B1D7E47"/>
    <w:rsid w:val="7C393AE4"/>
    <w:rsid w:val="7CA47567"/>
    <w:rsid w:val="7D8C2F2A"/>
    <w:rsid w:val="7E926C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Default1"/>
    <w:basedOn w:val="3"/>
    <w:next w:val="1"/>
    <w:qFormat/>
    <w:uiPriority w:val="0"/>
    <w:pPr>
      <w:widowControl w:val="0"/>
      <w:autoSpaceDE w:val="0"/>
      <w:autoSpaceDN w:val="0"/>
      <w:adjustRightInd w:val="0"/>
    </w:pPr>
    <w:rPr>
      <w:rFonts w:ascii="宋体" w:cs="宋体"/>
      <w:color w:val="000000"/>
      <w:sz w:val="24"/>
      <w:szCs w:val="24"/>
      <w:lang w:val="en-US" w:eastAsia="zh-CN"/>
    </w:rPr>
  </w:style>
  <w:style w:type="paragraph" w:customStyle="1" w:styleId="3">
    <w:name w:val="Normal_14_0"/>
    <w:qFormat/>
    <w:uiPriority w:val="0"/>
    <w:pPr>
      <w:spacing w:before="120" w:after="240"/>
      <w:jc w:val="both"/>
    </w:pPr>
    <w:rPr>
      <w:rFonts w:ascii="Calibri" w:hAnsi="Calibri" w:eastAsia="Calibri" w:cs="Times New Roman"/>
      <w:sz w:val="22"/>
      <w:szCs w:val="22"/>
      <w:lang w:val="ru-RU" w:eastAsia="en-US" w:bidi="ar-SA"/>
    </w:rPr>
  </w:style>
  <w:style w:type="paragraph" w:styleId="5">
    <w:name w:val="Normal Indent"/>
    <w:basedOn w:val="1"/>
    <w:next w:val="1"/>
    <w:qFormat/>
    <w:uiPriority w:val="0"/>
    <w:pPr>
      <w:ind w:firstLine="420"/>
    </w:pPr>
    <w:rPr>
      <w:rFonts w:ascii="仿宋_GB2312"/>
      <w:spacing w:val="4"/>
      <w:kern w:val="18"/>
      <w:szCs w:val="28"/>
    </w:rPr>
  </w:style>
  <w:style w:type="paragraph" w:styleId="6">
    <w:name w:val="annotation text"/>
    <w:basedOn w:val="1"/>
    <w:qFormat/>
    <w:uiPriority w:val="0"/>
    <w:pPr>
      <w:jc w:val="left"/>
    </w:pPr>
  </w:style>
  <w:style w:type="paragraph" w:styleId="7">
    <w:name w:val="Body Text"/>
    <w:basedOn w:val="1"/>
    <w:next w:val="1"/>
    <w:qFormat/>
    <w:uiPriority w:val="0"/>
    <w:rPr>
      <w:sz w:val="32"/>
    </w:rPr>
  </w:style>
  <w:style w:type="paragraph" w:styleId="8">
    <w:name w:val="Body Text Indent"/>
    <w:basedOn w:val="1"/>
    <w:next w:val="1"/>
    <w:qFormat/>
    <w:uiPriority w:val="0"/>
    <w:pPr>
      <w:spacing w:after="120"/>
      <w:ind w:left="420" w:leftChars="200"/>
    </w:pPr>
  </w:style>
  <w:style w:type="paragraph" w:styleId="9">
    <w:name w:val="footer"/>
    <w:basedOn w:val="1"/>
    <w:link w:val="17"/>
    <w:qFormat/>
    <w:uiPriority w:val="0"/>
    <w:pPr>
      <w:tabs>
        <w:tab w:val="center" w:pos="4153"/>
        <w:tab w:val="right" w:pos="8306"/>
      </w:tabs>
      <w:snapToGrid w:val="0"/>
      <w:jc w:val="left"/>
    </w:pPr>
    <w:rPr>
      <w:sz w:val="18"/>
      <w:szCs w:val="18"/>
    </w:rPr>
  </w:style>
  <w:style w:type="paragraph" w:styleId="10">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4">
    <w:name w:val="xl27"/>
    <w:basedOn w:val="1"/>
    <w:qFormat/>
    <w:uiPriority w:val="0"/>
    <w:pPr>
      <w:widowControl/>
      <w:pBdr>
        <w:bottom w:val="single" w:color="auto" w:sz="12" w:space="0"/>
      </w:pBdr>
      <w:spacing w:before="100" w:after="100"/>
      <w:ind w:firstLine="839"/>
      <w:jc w:val="center"/>
    </w:pPr>
    <w:rPr>
      <w:rFonts w:ascii="宋体" w:hAnsi="宋体"/>
      <w:szCs w:val="20"/>
    </w:rPr>
  </w:style>
  <w:style w:type="paragraph" w:customStyle="1" w:styleId="15">
    <w:name w:val="A正文"/>
    <w:basedOn w:val="1"/>
    <w:qFormat/>
    <w:uiPriority w:val="0"/>
    <w:pPr>
      <w:snapToGrid w:val="0"/>
      <w:ind w:firstLine="480"/>
    </w:pPr>
    <w:rPr>
      <w:rFonts w:ascii="Times New Roman"/>
      <w:szCs w:val="21"/>
      <w:lang w:val="zh-CN"/>
    </w:rPr>
  </w:style>
  <w:style w:type="character" w:customStyle="1" w:styleId="16">
    <w:name w:val="页眉 Char"/>
    <w:basedOn w:val="13"/>
    <w:link w:val="10"/>
    <w:qFormat/>
    <w:uiPriority w:val="0"/>
    <w:rPr>
      <w:rFonts w:asciiTheme="minorHAnsi" w:hAnsiTheme="minorHAnsi" w:eastAsiaTheme="minorEastAsia" w:cstheme="minorBidi"/>
      <w:kern w:val="2"/>
      <w:sz w:val="18"/>
      <w:szCs w:val="18"/>
    </w:rPr>
  </w:style>
  <w:style w:type="character" w:customStyle="1" w:styleId="17">
    <w:name w:val="页脚 Char"/>
    <w:basedOn w:val="13"/>
    <w:link w:val="9"/>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6</Pages>
  <Words>2570</Words>
  <Characters>319</Characters>
  <Lines>2</Lines>
  <Paragraphs>5</Paragraphs>
  <TotalTime>8</TotalTime>
  <ScaleCrop>false</ScaleCrop>
  <LinksUpToDate>false</LinksUpToDate>
  <CharactersWithSpaces>2884</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2024-12-25T07:28:00Z</dcterms:created>
  <dc:creator>admin</dc:creator>
  <cp:lastModifiedBy>一个合格的喝水人</cp:lastModifiedBy>
  <cp:lastPrinted>2025-04-01T02:05:00Z</cp:lastPrinted>
  <dcterms:modified xsi:type="dcterms:W3CDTF">2025-08-11T15:44:25Z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y fmtid="{D5CDD505-2E9C-101B-9397-08002B2CF9AE}" pid="3" name="ICV">
    <vt:lpwstr>EA76A42842B4491DB83EE075C405C18B_13</vt:lpwstr>
  </property>
</Properties>
</file>