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b w:val="0"/>
          <w:bCs w:val="0"/>
          <w:color w:val="000000" w:themeColor="text1"/>
          <w:sz w:val="44"/>
          <w:szCs w:val="44"/>
          <w:lang w:eastAsia="zh-CN"/>
          <w14:textFill>
            <w14:solidFill>
              <w14:schemeClr w14:val="tx1"/>
            </w14:solidFill>
          </w14:textFill>
        </w:rPr>
      </w:pPr>
      <w:r>
        <w:rPr>
          <w:rFonts w:hint="eastAsia" w:ascii="方正小标宋简体" w:hAnsi="仿宋" w:eastAsia="方正小标宋简体" w:cs="仿宋"/>
          <w:b w:val="0"/>
          <w:bCs w:val="0"/>
          <w:sz w:val="44"/>
          <w:szCs w:val="44"/>
        </w:rPr>
        <w:t>关于</w:t>
      </w:r>
      <w:r>
        <w:rPr>
          <w:rFonts w:hint="eastAsia" w:ascii="方正小标宋简体" w:hAnsi="方正小标宋简体" w:eastAsia="方正小标宋简体" w:cs="方正小标宋简体"/>
          <w:b w:val="0"/>
          <w:bCs w:val="0"/>
          <w:color w:val="000000" w:themeColor="text1"/>
          <w:sz w:val="44"/>
          <w:szCs w:val="44"/>
          <w:lang w:eastAsia="zh-CN"/>
          <w14:textFill>
            <w14:solidFill>
              <w14:schemeClr w14:val="tx1"/>
            </w14:solidFill>
          </w14:textFill>
        </w:rPr>
        <w:t>上犹安康医院装修改造项目</w:t>
      </w:r>
    </w:p>
    <w:p>
      <w:pPr>
        <w:spacing w:line="600" w:lineRule="exact"/>
        <w:jc w:val="center"/>
        <w:rPr>
          <w:rFonts w:ascii="方正小标宋简体" w:hAnsi="仿宋" w:eastAsia="方正小标宋简体" w:cs="仿宋"/>
          <w:b w:val="0"/>
          <w:bCs w:val="0"/>
          <w:sz w:val="44"/>
          <w:szCs w:val="44"/>
        </w:rPr>
      </w:pPr>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环境影响报告表</w:t>
      </w:r>
      <w:r>
        <w:rPr>
          <w:rFonts w:hint="eastAsia" w:ascii="方正小标宋简体" w:hAnsi="仿宋" w:eastAsia="方正小标宋简体" w:cs="仿宋"/>
          <w:b w:val="0"/>
          <w:bCs w:val="0"/>
          <w:sz w:val="44"/>
          <w:szCs w:val="44"/>
        </w:rPr>
        <w:t>的批复</w:t>
      </w:r>
    </w:p>
    <w:p>
      <w:pPr>
        <w:spacing w:line="560" w:lineRule="exact"/>
        <w:ind w:firstLine="1280" w:firstLineChars="400"/>
        <w:rPr>
          <w:rFonts w:ascii="仿宋_GB2312" w:hAnsi="仿宋" w:eastAsia="仿宋_GB2312" w:cs="仿宋"/>
          <w:sz w:val="32"/>
          <w:szCs w:val="32"/>
        </w:rPr>
      </w:pPr>
    </w:p>
    <w:p>
      <w:pPr>
        <w:keepNext w:val="0"/>
        <w:keepLines w:val="0"/>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Cs/>
          <w:color w:val="000000"/>
          <w:sz w:val="32"/>
          <w:szCs w:val="32"/>
          <w:lang w:eastAsia="zh-CN"/>
        </w:rPr>
        <w:t>上犹安康医院</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你</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kern w:val="0"/>
          <w:sz w:val="32"/>
          <w:szCs w:val="32"/>
        </w:rPr>
        <w:t>《</w:t>
      </w:r>
      <w:r>
        <w:rPr>
          <w:rFonts w:hint="eastAsia" w:ascii="仿宋_GB2312" w:hAnsi="仿宋_GB2312" w:eastAsia="仿宋_GB2312" w:cs="仿宋_GB2312"/>
          <w:bCs/>
          <w:color w:val="000000"/>
          <w:sz w:val="32"/>
          <w:szCs w:val="32"/>
          <w:lang w:eastAsia="zh-CN"/>
        </w:rPr>
        <w:t>上犹安康医院装修改造项目</w:t>
      </w:r>
      <w:r>
        <w:rPr>
          <w:rFonts w:hint="eastAsia" w:ascii="仿宋_GB2312" w:hAnsi="仿宋_GB2312" w:eastAsia="仿宋_GB2312" w:cs="仿宋_GB2312"/>
          <w:kern w:val="0"/>
          <w:sz w:val="32"/>
          <w:szCs w:val="32"/>
        </w:rPr>
        <w:t>环境影响报告表》环评文件及审查申请等有关文件收悉，环</w:t>
      </w:r>
      <w:r>
        <w:rPr>
          <w:rFonts w:hint="eastAsia" w:ascii="仿宋_GB2312" w:hAnsi="仿宋_GB2312" w:eastAsia="仿宋_GB2312" w:cs="仿宋_GB2312"/>
          <w:sz w:val="32"/>
          <w:szCs w:val="32"/>
        </w:rPr>
        <w:t>境影响报告表由</w:t>
      </w:r>
      <w:r>
        <w:rPr>
          <w:rFonts w:hint="eastAsia" w:ascii="仿宋_GB2312" w:hAnsi="仿宋_GB2312" w:eastAsia="仿宋_GB2312" w:cs="仿宋_GB2312"/>
          <w:bCs/>
          <w:color w:val="000000"/>
          <w:sz w:val="32"/>
          <w:szCs w:val="32"/>
          <w:lang w:val="en-US" w:eastAsia="zh-CN"/>
        </w:rPr>
        <w:t>江西耘硕环保科技有限公司</w:t>
      </w:r>
      <w:r>
        <w:rPr>
          <w:rFonts w:hint="eastAsia" w:ascii="仿宋_GB2312" w:hAnsi="仿宋_GB2312" w:eastAsia="仿宋_GB2312" w:cs="仿宋_GB2312"/>
          <w:sz w:val="32"/>
          <w:szCs w:val="32"/>
        </w:rPr>
        <w:t>编制。</w:t>
      </w:r>
      <w:r>
        <w:rPr>
          <w:rFonts w:hint="eastAsia" w:ascii="仿宋_GB2312" w:hAnsi="仿宋_GB2312" w:eastAsia="仿宋_GB2312" w:cs="仿宋_GB2312"/>
          <w:kern w:val="0"/>
          <w:sz w:val="32"/>
          <w:szCs w:val="32"/>
        </w:rPr>
        <w:t>根据技术评估会专家组意见及技术评估公司的评估意见，经研究，批</w:t>
      </w:r>
      <w:r>
        <w:rPr>
          <w:rFonts w:hint="eastAsia" w:ascii="仿宋_GB2312" w:hAnsi="仿宋_GB2312" w:eastAsia="仿宋_GB2312" w:cs="仿宋_GB2312"/>
          <w:sz w:val="32"/>
          <w:szCs w:val="32"/>
        </w:rPr>
        <w:t>复如下：</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一、项目概况及批复意见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hAnsi="仿宋_GB2312" w:eastAsia="仿宋_GB2312" w:cs="仿宋_GB2312"/>
          <w:bCs/>
          <w:color w:val="000000"/>
          <w:sz w:val="32"/>
          <w:szCs w:val="32"/>
          <w:lang w:eastAsia="zh-CN"/>
        </w:rPr>
        <w:t>上犹安康医院装修改造项目</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（项目代码：</w:t>
      </w:r>
      <w:r>
        <w:rPr>
          <w:rFonts w:hint="eastAsia" w:ascii="仿宋_GB2312" w:hAnsi="仿宋_GB2312" w:eastAsia="仿宋_GB2312" w:cs="仿宋_GB2312"/>
          <w:bCs/>
          <w:color w:val="000000"/>
          <w:sz w:val="32"/>
          <w:szCs w:val="32"/>
          <w:lang w:eastAsia="zh-CN"/>
        </w:rPr>
        <w:t>2</w:t>
      </w:r>
      <w:r>
        <w:rPr>
          <w:rFonts w:hint="eastAsia" w:ascii="仿宋_GB2312" w:hAnsi="仿宋_GB2312" w:eastAsia="仿宋_GB2312" w:cs="仿宋_GB2312"/>
          <w:bCs/>
          <w:color w:val="000000"/>
          <w:sz w:val="32"/>
          <w:szCs w:val="32"/>
          <w:lang w:val="en-US" w:eastAsia="zh-CN"/>
        </w:rPr>
        <w:t>504</w:t>
      </w:r>
      <w:r>
        <w:rPr>
          <w:rFonts w:hint="eastAsia" w:ascii="仿宋_GB2312" w:hAnsi="仿宋_GB2312" w:eastAsia="仿宋_GB2312" w:cs="仿宋_GB2312"/>
          <w:bCs/>
          <w:color w:val="000000"/>
          <w:sz w:val="32"/>
          <w:szCs w:val="32"/>
          <w:lang w:eastAsia="zh-CN"/>
        </w:rPr>
        <w:t>-360724-04-05-</w:t>
      </w:r>
      <w:r>
        <w:rPr>
          <w:rFonts w:hint="eastAsia" w:ascii="仿宋_GB2312" w:hAnsi="仿宋_GB2312" w:eastAsia="仿宋_GB2312" w:cs="仿宋_GB2312"/>
          <w:bCs/>
          <w:color w:val="000000"/>
          <w:sz w:val="32"/>
          <w:szCs w:val="32"/>
          <w:lang w:val="en-US" w:eastAsia="zh-CN"/>
        </w:rPr>
        <w:t>932688</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）为</w:t>
      </w:r>
      <w:r>
        <w:rPr>
          <w:rFonts w:hint="eastAsia" w:ascii="仿宋_GB2312" w:hAnsi="仿宋_GB2312" w:eastAsia="仿宋_GB2312" w:cs="仿宋_GB2312"/>
          <w:bCs/>
          <w:color w:val="000000"/>
          <w:sz w:val="32"/>
          <w:szCs w:val="32"/>
          <w:lang w:eastAsia="zh-CN"/>
        </w:rPr>
        <w:t>上犹安康医院</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新建项目，建设项目行业类别为</w:t>
      </w:r>
      <w:r>
        <w:rPr>
          <w:rFonts w:hint="eastAsia" w:ascii="仿宋_GB2312" w:hAnsi="仿宋_GB2312" w:eastAsia="仿宋_GB2312" w:cs="仿宋_GB2312"/>
          <w:bCs/>
          <w:color w:val="000000"/>
          <w:sz w:val="32"/>
          <w:szCs w:val="32"/>
          <w:lang w:eastAsia="zh-CN"/>
        </w:rPr>
        <w:t>医院</w:t>
      </w:r>
      <w:r>
        <w:rPr>
          <w:rFonts w:hint="eastAsia" w:ascii="仿宋_GB2312" w:hAnsi="仿宋_GB2312" w:eastAsia="仿宋_GB2312" w:cs="仿宋_GB2312"/>
          <w:bCs/>
          <w:color w:val="000000"/>
          <w:sz w:val="32"/>
          <w:szCs w:val="32"/>
          <w:lang w:val="en-US" w:eastAsia="zh-CN"/>
        </w:rPr>
        <w:t>841</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。项目位于</w:t>
      </w:r>
      <w:r>
        <w:rPr>
          <w:rFonts w:hint="eastAsia" w:ascii="仿宋_GB2312" w:hAnsi="仿宋_GB2312" w:eastAsia="仿宋_GB2312" w:cs="仿宋_GB2312"/>
          <w:bCs/>
          <w:color w:val="000000"/>
          <w:sz w:val="32"/>
          <w:szCs w:val="32"/>
          <w:lang w:eastAsia="zh-CN"/>
        </w:rPr>
        <w:t>江西省赣州市上犹县黄埠镇下山排</w:t>
      </w:r>
      <w:r>
        <w:rPr>
          <w:rFonts w:hint="eastAsia" w:ascii="仿宋_GB2312" w:hAnsi="仿宋_GB2312" w:eastAsia="仿宋_GB2312" w:cs="仿宋_GB2312"/>
          <w:bCs/>
          <w:color w:val="000000" w:themeColor="text1"/>
          <w:sz w:val="32"/>
          <w:szCs w:val="32"/>
          <w14:textFill>
            <w14:solidFill>
              <w14:schemeClr w14:val="tx1"/>
            </w14:solidFill>
          </w14:textFill>
        </w:rPr>
        <w:t>，</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中心</w:t>
      </w:r>
      <w:r>
        <w:rPr>
          <w:rFonts w:hint="eastAsia" w:ascii="仿宋_GB2312" w:hAnsi="仿宋_GB2312" w:eastAsia="仿宋_GB2312" w:cs="仿宋_GB2312"/>
          <w:bCs/>
          <w:color w:val="000000" w:themeColor="text1"/>
          <w:sz w:val="32"/>
          <w:szCs w:val="32"/>
          <w14:textFill>
            <w14:solidFill>
              <w14:schemeClr w14:val="tx1"/>
            </w14:solidFill>
          </w14:textFill>
        </w:rPr>
        <w:t>地理坐标为</w:t>
      </w:r>
      <w:r>
        <w:rPr>
          <w:rFonts w:hint="eastAsia" w:ascii="仿宋_GB2312" w:hAnsi="仿宋_GB2312" w:eastAsia="仿宋_GB2312" w:cs="仿宋_GB2312"/>
          <w:bCs/>
          <w:color w:val="000000"/>
          <w:sz w:val="32"/>
          <w:szCs w:val="32"/>
        </w:rPr>
        <w:t>东经114°</w:t>
      </w:r>
      <w:r>
        <w:rPr>
          <w:rFonts w:hint="eastAsia" w:ascii="仿宋_GB2312" w:hAnsi="仿宋_GB2312" w:eastAsia="仿宋_GB2312" w:cs="仿宋_GB2312"/>
          <w:bCs/>
          <w:color w:val="000000"/>
          <w:sz w:val="32"/>
          <w:szCs w:val="32"/>
          <w:lang w:val="en-US" w:eastAsia="zh-CN"/>
        </w:rPr>
        <w:t>34</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lang w:val="en-US" w:eastAsia="zh-CN"/>
        </w:rPr>
        <w:t>22</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lang w:val="en-US" w:eastAsia="zh-CN"/>
        </w:rPr>
        <w:t>500</w:t>
      </w:r>
      <w:r>
        <w:rPr>
          <w:rFonts w:hint="eastAsia" w:ascii="仿宋_GB2312" w:hAnsi="仿宋_GB2312" w:eastAsia="仿宋_GB2312" w:cs="仿宋_GB2312"/>
          <w:bCs/>
          <w:color w:val="000000"/>
          <w:sz w:val="32"/>
          <w:szCs w:val="32"/>
        </w:rPr>
        <w:t>″，北纬25°4</w:t>
      </w:r>
      <w:r>
        <w:rPr>
          <w:rFonts w:hint="eastAsia" w:ascii="仿宋_GB2312" w:hAnsi="仿宋_GB2312" w:eastAsia="仿宋_GB2312" w:cs="仿宋_GB2312"/>
          <w:bCs/>
          <w:color w:val="000000"/>
          <w:sz w:val="32"/>
          <w:szCs w:val="32"/>
          <w:lang w:val="en-US" w:eastAsia="zh-CN"/>
        </w:rPr>
        <w:t>5</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lang w:val="en-US" w:eastAsia="zh-CN"/>
        </w:rPr>
        <w:t>25</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lang w:val="en-US" w:eastAsia="zh-CN"/>
        </w:rPr>
        <w:t>406</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w:t>
      </w:r>
      <w:r>
        <w:rPr>
          <w:rFonts w:hint="eastAsia" w:ascii="仿宋_GB2312" w:hAnsi="仿宋_GB2312" w:eastAsia="仿宋_GB2312" w:cs="仿宋_GB2312"/>
          <w:bCs/>
          <w:color w:val="000000"/>
          <w:sz w:val="32"/>
          <w:szCs w:val="32"/>
        </w:rPr>
        <w:t>总用地面积</w:t>
      </w:r>
      <w:r>
        <w:rPr>
          <w:rFonts w:hint="eastAsia" w:ascii="仿宋_GB2312" w:hAnsi="仿宋_GB2312" w:eastAsia="仿宋_GB2312" w:cs="仿宋_GB2312"/>
          <w:bCs/>
          <w:color w:val="000000"/>
          <w:sz w:val="32"/>
          <w:szCs w:val="32"/>
          <w:lang w:val="en-US" w:eastAsia="zh-CN"/>
        </w:rPr>
        <w:t>7885m</w:t>
      </w:r>
      <w:r>
        <w:rPr>
          <w:rFonts w:hint="eastAsia" w:ascii="仿宋_GB2312" w:hAnsi="仿宋_GB2312" w:eastAsia="仿宋_GB2312" w:cs="仿宋_GB2312"/>
          <w:bCs/>
          <w:color w:val="000000"/>
          <w:sz w:val="32"/>
          <w:szCs w:val="32"/>
          <w:vertAlign w:val="superscript"/>
          <w:lang w:val="en-US" w:eastAsia="zh-CN"/>
        </w:rPr>
        <w:t>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bCs/>
          <w:color w:val="000000" w:themeColor="text1"/>
          <w:sz w:val="32"/>
          <w:szCs w:val="32"/>
          <w14:textFill>
            <w14:solidFill>
              <w14:schemeClr w14:val="tx1"/>
            </w14:solidFill>
          </w14:textFill>
        </w:rPr>
        <w:t>总投资</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2500万</w:t>
      </w:r>
      <w:r>
        <w:rPr>
          <w:rFonts w:hint="eastAsia" w:ascii="仿宋_GB2312" w:hAnsi="仿宋_GB2312" w:eastAsia="仿宋_GB2312" w:cs="仿宋_GB2312"/>
          <w:bCs/>
          <w:color w:val="000000" w:themeColor="text1"/>
          <w:sz w:val="32"/>
          <w:szCs w:val="32"/>
          <w14:textFill>
            <w14:solidFill>
              <w14:schemeClr w14:val="tx1"/>
            </w14:solidFill>
          </w14:textFill>
        </w:rPr>
        <w:t>元</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Cs/>
          <w:color w:val="000000" w:themeColor="text1"/>
          <w:sz w:val="32"/>
          <w:szCs w:val="32"/>
          <w14:textFill>
            <w14:solidFill>
              <w14:schemeClr w14:val="tx1"/>
            </w14:solidFill>
          </w14:textFill>
        </w:rPr>
        <w:t>其中环保投资</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80</w:t>
      </w:r>
      <w:r>
        <w:rPr>
          <w:rFonts w:hint="eastAsia" w:ascii="仿宋_GB2312" w:hAnsi="仿宋_GB2312" w:eastAsia="仿宋_GB2312" w:cs="仿宋_GB2312"/>
          <w:bCs/>
          <w:color w:val="000000" w:themeColor="text1"/>
          <w:sz w:val="32"/>
          <w:szCs w:val="32"/>
          <w14:textFill>
            <w14:solidFill>
              <w14:schemeClr w14:val="tx1"/>
            </w14:solidFill>
          </w14:textFill>
        </w:rPr>
        <w:t>万元，占</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总投资的</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3.2</w:t>
      </w:r>
      <w:r>
        <w:rPr>
          <w:rFonts w:hint="eastAsia" w:ascii="仿宋_GB2312" w:hAnsi="仿宋_GB2312" w:eastAsia="仿宋_GB2312" w:cs="仿宋_GB2312"/>
          <w:bCs/>
          <w:color w:val="000000" w:themeColor="text1"/>
          <w:sz w:val="32"/>
          <w:szCs w:val="32"/>
          <w14:textFill>
            <w14:solidFill>
              <w14:schemeClr w14:val="tx1"/>
            </w14:solidFill>
          </w14:textFill>
        </w:rPr>
        <w:t>%</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Cs/>
          <w:color w:val="000000"/>
          <w:sz w:val="32"/>
          <w:szCs w:val="32"/>
          <w:lang w:eastAsia="zh-CN"/>
        </w:rPr>
        <w:t>项目用水量为</w:t>
      </w:r>
      <w:r>
        <w:rPr>
          <w:rFonts w:hint="eastAsia" w:ascii="仿宋_GB2312" w:hAnsi="仿宋_GB2312" w:eastAsia="仿宋_GB2312" w:cs="仿宋_GB2312"/>
          <w:bCs/>
          <w:color w:val="000000"/>
          <w:sz w:val="32"/>
          <w:szCs w:val="32"/>
          <w:lang w:val="en-US" w:eastAsia="zh-CN"/>
        </w:rPr>
        <w:t>56250.16</w:t>
      </w:r>
      <w:r>
        <w:rPr>
          <w:rFonts w:hint="eastAsia" w:ascii="仿宋_GB2312" w:hAnsi="仿宋_GB2312" w:eastAsia="仿宋_GB2312" w:cs="仿宋_GB2312"/>
          <w:bCs/>
          <w:color w:val="000000"/>
          <w:sz w:val="32"/>
          <w:szCs w:val="32"/>
          <w:lang w:eastAsia="zh-CN"/>
        </w:rPr>
        <w:t>m</w:t>
      </w:r>
      <w:r>
        <w:rPr>
          <w:rFonts w:hint="eastAsia" w:ascii="仿宋_GB2312" w:hAnsi="仿宋_GB2312" w:eastAsia="仿宋_GB2312" w:cs="仿宋_GB2312"/>
          <w:bCs/>
          <w:color w:val="000000"/>
          <w:sz w:val="32"/>
          <w:szCs w:val="32"/>
          <w:vertAlign w:val="superscript"/>
          <w:lang w:eastAsia="zh-CN"/>
        </w:rPr>
        <w:t>3</w:t>
      </w:r>
      <w:r>
        <w:rPr>
          <w:rFonts w:hint="eastAsia" w:ascii="仿宋_GB2312" w:hAnsi="仿宋_GB2312" w:eastAsia="仿宋_GB2312" w:cs="仿宋_GB2312"/>
          <w:bCs/>
          <w:color w:val="000000"/>
          <w:sz w:val="32"/>
          <w:szCs w:val="32"/>
          <w:lang w:eastAsia="zh-CN"/>
        </w:rPr>
        <w:t>/a，用电量</w:t>
      </w:r>
      <w:r>
        <w:rPr>
          <w:rFonts w:hint="eastAsia" w:ascii="仿宋_GB2312" w:hAnsi="仿宋_GB2312" w:eastAsia="仿宋_GB2312" w:cs="仿宋_GB2312"/>
          <w:bCs/>
          <w:color w:val="000000"/>
          <w:sz w:val="32"/>
          <w:szCs w:val="32"/>
          <w:lang w:val="en-US" w:eastAsia="zh-CN"/>
        </w:rPr>
        <w:t>8760</w:t>
      </w:r>
      <w:r>
        <w:rPr>
          <w:rFonts w:hint="eastAsia" w:ascii="仿宋_GB2312" w:hAnsi="仿宋_GB2312" w:eastAsia="仿宋_GB2312" w:cs="仿宋_GB2312"/>
          <w:bCs/>
          <w:color w:val="000000"/>
          <w:sz w:val="32"/>
          <w:szCs w:val="32"/>
          <w:lang w:eastAsia="zh-CN"/>
        </w:rPr>
        <w:t>万kW·h</w:t>
      </w:r>
      <w:r>
        <w:rPr>
          <w:rFonts w:hint="eastAsia" w:ascii="仿宋_GB2312" w:hAnsi="仿宋_GB2312" w:eastAsia="仿宋_GB2312" w:cs="仿宋_GB2312"/>
          <w:bCs/>
          <w:color w:val="000000"/>
          <w:sz w:val="32"/>
          <w:szCs w:val="32"/>
          <w:lang w:val="en-US" w:eastAsia="zh-CN"/>
        </w:rPr>
        <w:t>/a</w:t>
      </w:r>
      <w:r>
        <w:rPr>
          <w:rFonts w:hint="eastAsia" w:ascii="仿宋_GB2312" w:hAnsi="仿宋_GB2312" w:eastAsia="仿宋_GB2312" w:cs="仿宋_GB2312"/>
          <w:color w:val="000000"/>
          <w:sz w:val="32"/>
          <w:szCs w:val="32"/>
          <w:lang w:val="en-US" w:eastAsia="zh-CN"/>
        </w:rPr>
        <w:t>，均</w:t>
      </w:r>
      <w:r>
        <w:rPr>
          <w:rFonts w:hint="eastAsia" w:ascii="仿宋_GB2312" w:hAnsi="仿宋_GB2312" w:eastAsia="仿宋_GB2312" w:cs="仿宋_GB2312"/>
          <w:bCs/>
          <w:color w:val="000000"/>
          <w:sz w:val="32"/>
          <w:szCs w:val="32"/>
        </w:rPr>
        <w:t>由</w:t>
      </w:r>
      <w:r>
        <w:rPr>
          <w:rFonts w:hint="eastAsia" w:ascii="仿宋_GB2312" w:hAnsi="仿宋_GB2312" w:eastAsia="仿宋_GB2312" w:cs="仿宋_GB2312"/>
          <w:bCs/>
          <w:color w:val="000000"/>
          <w:sz w:val="32"/>
          <w:szCs w:val="32"/>
          <w:lang w:eastAsia="zh-CN"/>
        </w:rPr>
        <w:t>江西上犹工业园</w:t>
      </w:r>
      <w:r>
        <w:rPr>
          <w:rFonts w:hint="eastAsia" w:ascii="仿宋_GB2312" w:hAnsi="仿宋_GB2312" w:eastAsia="仿宋_GB2312" w:cs="仿宋_GB2312"/>
          <w:bCs/>
          <w:color w:val="000000"/>
          <w:sz w:val="32"/>
          <w:szCs w:val="32"/>
        </w:rPr>
        <w:t>公用工程供应</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该项目</w:t>
      </w:r>
      <w:r>
        <w:rPr>
          <w:rFonts w:hint="eastAsia" w:ascii="仿宋_GB2312" w:hAnsi="仿宋_GB2312" w:eastAsia="仿宋_GB2312" w:cs="仿宋_GB2312"/>
          <w:snapToGrid w:val="0"/>
          <w:color w:val="000000"/>
          <w:sz w:val="32"/>
          <w:szCs w:val="32"/>
          <w:lang w:eastAsia="zh-CN"/>
        </w:rPr>
        <w:t>利用原黄埠敬老院</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空置</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建筑改造</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主要建设内容为综合楼、附属楼、洗衣房、后勤周转房、活动室及相应的配套设施。医院功能定位以精神康复、精神咨询、心理指导及健康指导为主，设有精神科门诊部、精神科住院部、心理门诊、心理咨询室、预防保健室、内科、中医科、药剂科、检验科、医学</w:t>
      </w:r>
      <w:bookmarkStart w:id="0" w:name="_GoBack"/>
      <w:bookmarkEnd w:id="0"/>
      <w:r>
        <w:rPr>
          <w:rFonts w:hint="eastAsia" w:ascii="仿宋_GB2312" w:hAnsi="仿宋_GB2312" w:eastAsia="仿宋_GB2312" w:cs="仿宋_GB2312"/>
          <w:bCs/>
          <w:color w:val="000000" w:themeColor="text1"/>
          <w:sz w:val="32"/>
          <w:szCs w:val="32"/>
          <w:lang w:eastAsia="zh-CN"/>
          <w14:textFill>
            <w14:solidFill>
              <w14:schemeClr w14:val="tx1"/>
            </w14:solidFill>
          </w14:textFill>
        </w:rPr>
        <w:t>影像科、康复医学科等。</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购置</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供氧装置、呼吸机、洗胃机</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等</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设备和</w:t>
      </w:r>
      <w:r>
        <w:rPr>
          <w:rFonts w:hint="eastAsia" w:ascii="仿宋_GB2312" w:hAnsi="仿宋_GB2312" w:eastAsia="仿宋_GB2312" w:cs="仿宋_GB2312"/>
          <w:bCs/>
          <w:sz w:val="32"/>
          <w:szCs w:val="32"/>
          <w:lang w:eastAsia="zh-CN" w:bidi="ar"/>
        </w:rPr>
        <w:t>各类药品、医用酒精</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等原辅料。</w:t>
      </w:r>
      <w:r>
        <w:rPr>
          <w:rFonts w:hint="eastAsia" w:ascii="仿宋_GB2312" w:hAnsi="仿宋_GB2312" w:eastAsia="仿宋_GB2312" w:cs="仿宋_GB2312"/>
          <w:b w:val="0"/>
          <w:bCs w:val="0"/>
          <w:color w:val="000000"/>
          <w:sz w:val="32"/>
          <w:szCs w:val="32"/>
        </w:rPr>
        <w:t>工艺</w:t>
      </w:r>
      <w:r>
        <w:rPr>
          <w:rFonts w:hint="eastAsia" w:ascii="仿宋_GB2312" w:hAnsi="仿宋_GB2312" w:eastAsia="仿宋_GB2312" w:cs="仿宋_GB2312"/>
          <w:b w:val="0"/>
          <w:bCs w:val="0"/>
          <w:color w:val="000000"/>
          <w:sz w:val="32"/>
          <w:szCs w:val="32"/>
          <w:lang w:eastAsia="zh-CN"/>
        </w:rPr>
        <w:t>流程有主要</w:t>
      </w:r>
      <w:r>
        <w:rPr>
          <w:rFonts w:hint="eastAsia" w:ascii="仿宋_GB2312" w:hAnsi="仿宋_GB2312" w:eastAsia="仿宋_GB2312" w:cs="仿宋_GB2312"/>
          <w:color w:val="000000"/>
          <w:sz w:val="32"/>
          <w:szCs w:val="32"/>
          <w:lang w:eastAsia="zh-CN"/>
        </w:rPr>
        <w:t>挂号、门诊、检验、诊断、入院、诊断、住院、治理、护理、复检、康复出院。</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Cs/>
          <w:color w:val="000000"/>
          <w:sz w:val="32"/>
          <w:szCs w:val="32"/>
          <w:lang w:val="en-US" w:eastAsia="zh-CN"/>
        </w:rPr>
        <w:t>你单位应在项目建设及运营过程中，严格落实环境影响报告表提出的各项生态环境保护措施。我局原则上同意环境影响报告表所列建设项目的性质、规模、地点、工艺和环境保护对策措施。</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rPr>
        <w:t>二、项目运营管理中应重点做好以下工作：</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项目在工程设计、建设和运行过程中应认真落实环境影响报告表提出的各项环境保护措施和要求。重点做好以下工作：</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（一）严格落实环境影响报告表要求。</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做好运营期的污染防治工作，确保各类污染物达标排放及妥善处置</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b/>
          <w:bCs/>
          <w:sz w:val="32"/>
          <w:szCs w:val="32"/>
        </w:rPr>
        <w:t>（二）严格落实大气环境保护措施</w:t>
      </w:r>
      <w:r>
        <w:rPr>
          <w:rFonts w:hint="eastAsia" w:ascii="仿宋_GB2312" w:hAnsi="仿宋_GB2312" w:eastAsia="仿宋_GB2312" w:cs="仿宋_GB2312"/>
          <w:sz w:val="32"/>
          <w:szCs w:val="32"/>
        </w:rPr>
        <w:t>。</w:t>
      </w:r>
      <w:r>
        <w:rPr>
          <w:rFonts w:hint="eastAsia" w:ascii="仿宋_GB2312" w:hAnsi="仿宋_GB2312" w:eastAsia="仿宋_GB2312" w:cs="仿宋_GB2312"/>
          <w:b w:val="0"/>
          <w:bCs w:val="0"/>
          <w:color w:val="000000" w:themeColor="text1"/>
          <w:kern w:val="0"/>
          <w:sz w:val="32"/>
          <w:szCs w:val="32"/>
          <w:lang w:val="en-US" w:eastAsia="zh-CN" w:bidi="ar"/>
          <w14:textFill>
            <w14:solidFill>
              <w14:schemeClr w14:val="tx1"/>
            </w14:solidFill>
          </w14:textFill>
        </w:rPr>
        <w:t>污水处理站</w:t>
      </w:r>
      <w:r>
        <w:rPr>
          <w:rFonts w:hint="eastAsia" w:ascii="仿宋_GB2312" w:hAnsi="仿宋_GB2312" w:eastAsia="仿宋_GB2312" w:cs="仿宋_GB2312"/>
          <w:b w:val="0"/>
          <w:bCs w:val="0"/>
          <w:color w:val="000000"/>
          <w:sz w:val="32"/>
          <w:szCs w:val="32"/>
          <w:lang w:eastAsia="zh-CN"/>
        </w:rPr>
        <w:t>恶臭</w:t>
      </w:r>
      <w:r>
        <w:rPr>
          <w:rFonts w:hint="eastAsia" w:ascii="仿宋_GB2312" w:hAnsi="仿宋_GB2312" w:eastAsia="仿宋_GB2312" w:cs="仿宋_GB2312"/>
          <w:b w:val="0"/>
          <w:bCs w:val="0"/>
          <w:color w:val="000000"/>
          <w:sz w:val="32"/>
          <w:szCs w:val="32"/>
          <w:lang w:val="zh-CN" w:eastAsia="zh-CN"/>
        </w:rPr>
        <w:t>废</w:t>
      </w:r>
      <w:r>
        <w:rPr>
          <w:rFonts w:hint="eastAsia" w:ascii="仿宋_GB2312" w:hAnsi="仿宋_GB2312" w:eastAsia="仿宋_GB2312" w:cs="仿宋_GB2312"/>
          <w:b w:val="0"/>
          <w:bCs w:val="0"/>
          <w:snapToGrid w:val="0"/>
          <w:color w:val="000000"/>
          <w:kern w:val="2"/>
          <w:sz w:val="32"/>
          <w:szCs w:val="32"/>
          <w:lang w:val="zh-CN" w:eastAsia="zh-CN" w:bidi="ar-SA"/>
        </w:rPr>
        <w:t>采用加盖密封、种植具有吸附作用的植物、定期喷洒生物制剂</w:t>
      </w:r>
      <w:r>
        <w:rPr>
          <w:rFonts w:hint="eastAsia" w:ascii="仿宋_GB2312" w:hAnsi="仿宋_GB2312" w:eastAsia="仿宋_GB2312" w:cs="仿宋_GB2312"/>
          <w:b w:val="0"/>
          <w:bCs w:val="0"/>
          <w:color w:val="000000"/>
          <w:sz w:val="32"/>
          <w:szCs w:val="32"/>
          <w:lang w:val="en-US" w:eastAsia="zh-CN"/>
        </w:rPr>
        <w:t>等措施</w:t>
      </w:r>
      <w:r>
        <w:rPr>
          <w:rFonts w:hint="eastAsia" w:ascii="仿宋_GB2312" w:hAnsi="仿宋_GB2312" w:eastAsia="仿宋_GB2312" w:cs="仿宋_GB2312"/>
          <w:b w:val="0"/>
          <w:bCs w:val="0"/>
          <w:color w:val="000000"/>
          <w:sz w:val="32"/>
          <w:szCs w:val="32"/>
        </w:rPr>
        <w:t>降低废气影响</w:t>
      </w:r>
      <w:r>
        <w:rPr>
          <w:rFonts w:hint="eastAsia" w:ascii="仿宋_GB2312" w:hAnsi="仿宋_GB2312" w:eastAsia="仿宋_GB2312" w:cs="仿宋_GB2312"/>
          <w:b w:val="0"/>
          <w:bCs w:val="0"/>
          <w:color w:val="000000"/>
          <w:sz w:val="32"/>
          <w:szCs w:val="32"/>
          <w:lang w:eastAsia="zh-CN"/>
        </w:rPr>
        <w:t>；食堂油烟</w:t>
      </w:r>
      <w:r>
        <w:rPr>
          <w:rFonts w:hint="eastAsia" w:ascii="仿宋_GB2312" w:hAnsi="仿宋_GB2312" w:eastAsia="仿宋_GB2312" w:cs="仿宋_GB2312"/>
          <w:b w:val="0"/>
          <w:bCs w:val="0"/>
          <w:color w:val="000000"/>
          <w:sz w:val="32"/>
          <w:szCs w:val="32"/>
        </w:rPr>
        <w:t>采用油烟净化器处理后引至建筑物房顶排放</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（三）严格落实各项水污染防治措施。</w:t>
      </w:r>
      <w:r>
        <w:rPr>
          <w:rFonts w:hint="eastAsia" w:ascii="仿宋_GB2312" w:hAnsi="仿宋_GB2312" w:eastAsia="仿宋_GB2312" w:cs="仿宋_GB2312"/>
          <w:color w:val="000000"/>
          <w:sz w:val="32"/>
          <w:szCs w:val="32"/>
          <w:lang w:val="en-US" w:eastAsia="zh-CN"/>
        </w:rPr>
        <w:t>项目废水主要为食堂废水、洗衣房废水、住院病床废水、门诊废水和医务人员生活污水，食堂废水经隔油池预处理和其他废水进入污水处理站处理达标后，经管道排至附近小溪</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（四）严格落实声环境保护措施。</w:t>
      </w:r>
      <w:r>
        <w:rPr>
          <w:rFonts w:hint="eastAsia" w:ascii="仿宋_GB2312" w:hAnsi="仿宋_GB2312" w:eastAsia="仿宋_GB2312" w:cs="仿宋_GB2312"/>
          <w:color w:val="000000"/>
          <w:kern w:val="0"/>
          <w:sz w:val="32"/>
          <w:szCs w:val="32"/>
        </w:rPr>
        <w:t>噪声主要为</w:t>
      </w:r>
      <w:r>
        <w:rPr>
          <w:rFonts w:hint="eastAsia" w:ascii="仿宋_GB2312" w:hAnsi="仿宋_GB2312" w:eastAsia="仿宋_GB2312" w:cs="仿宋_GB2312"/>
          <w:color w:val="000000"/>
          <w:kern w:val="0"/>
          <w:sz w:val="32"/>
          <w:szCs w:val="32"/>
          <w:lang w:eastAsia="zh-CN"/>
        </w:rPr>
        <w:t>各类水泵、食堂油烟风机</w:t>
      </w:r>
      <w:r>
        <w:rPr>
          <w:rFonts w:hint="eastAsia" w:ascii="仿宋_GB2312" w:hAnsi="仿宋_GB2312" w:eastAsia="仿宋_GB2312" w:cs="仿宋_GB2312"/>
          <w:color w:val="000000"/>
          <w:kern w:val="0"/>
          <w:sz w:val="32"/>
          <w:szCs w:val="32"/>
        </w:rPr>
        <w:t>等设备运行过程中产生的噪声。通过选用低噪声设备，</w:t>
      </w:r>
      <w:r>
        <w:rPr>
          <w:rFonts w:hint="eastAsia" w:ascii="仿宋_GB2312" w:hAnsi="仿宋_GB2312" w:eastAsia="仿宋_GB2312" w:cs="仿宋_GB2312"/>
          <w:color w:val="000000"/>
          <w:kern w:val="0"/>
          <w:sz w:val="32"/>
          <w:szCs w:val="32"/>
          <w:lang w:eastAsia="zh-CN"/>
        </w:rPr>
        <w:t>合理布局，加强维护，</w:t>
      </w:r>
      <w:r>
        <w:rPr>
          <w:rFonts w:hint="eastAsia" w:ascii="仿宋_GB2312" w:hAnsi="仿宋_GB2312" w:eastAsia="仿宋_GB2312" w:cs="仿宋_GB2312"/>
          <w:color w:val="000000"/>
          <w:kern w:val="0"/>
          <w:sz w:val="32"/>
          <w:szCs w:val="32"/>
        </w:rPr>
        <w:t>采取减震等降噪措施，以降低噪声的传播和干扰</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val="0"/>
        <w:snapToGrid w:val="0"/>
        <w:spacing w:line="520" w:lineRule="exact"/>
        <w:ind w:firstLine="643" w:firstLineChars="200"/>
        <w:jc w:val="left"/>
        <w:textAlignment w:val="auto"/>
        <w:rPr>
          <w:rFonts w:hint="eastAsia" w:ascii="仿宋_GB2312" w:hAnsi="仿宋_GB2312" w:eastAsia="仿宋_GB2312" w:cs="仿宋_GB2312"/>
          <w:color w:val="000000"/>
          <w:spacing w:val="4"/>
          <w:kern w:val="18"/>
          <w:sz w:val="32"/>
          <w:szCs w:val="32"/>
          <w:lang w:val="en-US" w:eastAsia="zh-CN" w:bidi="ar-SA"/>
        </w:rPr>
      </w:pPr>
      <w:r>
        <w:rPr>
          <w:rFonts w:hint="eastAsia" w:ascii="仿宋_GB2312" w:hAnsi="仿宋_GB2312" w:eastAsia="仿宋_GB2312" w:cs="仿宋_GB2312"/>
          <w:b/>
          <w:bCs/>
          <w:sz w:val="32"/>
          <w:szCs w:val="32"/>
        </w:rPr>
        <w:t>（五）严格落实固体废物污染防治措施。</w:t>
      </w:r>
      <w:r>
        <w:rPr>
          <w:rFonts w:hint="eastAsia" w:ascii="仿宋_GB2312" w:hAnsi="仿宋_GB2312" w:eastAsia="仿宋_GB2312" w:cs="仿宋_GB2312"/>
          <w:color w:val="000000"/>
          <w:sz w:val="32"/>
          <w:szCs w:val="32"/>
          <w:lang w:eastAsia="zh-CN"/>
        </w:rPr>
        <w:t>在院区西侧设</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highlight w:val="none"/>
          <w:lang w:val="en-US" w:eastAsia="zh-CN"/>
        </w:rPr>
        <w:t>座</w:t>
      </w:r>
      <w:r>
        <w:rPr>
          <w:rFonts w:hint="eastAsia" w:ascii="仿宋_GB2312" w:hAnsi="仿宋_GB2312" w:eastAsia="仿宋_GB2312" w:cs="仿宋_GB2312"/>
          <w:color w:val="000000"/>
          <w:sz w:val="32"/>
          <w:szCs w:val="32"/>
          <w:lang w:eastAsia="zh-CN"/>
        </w:rPr>
        <w:t>医疗废物暂存间，</w:t>
      </w:r>
      <w:r>
        <w:rPr>
          <w:rFonts w:hint="eastAsia" w:ascii="仿宋_GB2312" w:hAnsi="仿宋_GB2312" w:eastAsia="仿宋_GB2312" w:cs="仿宋_GB2312"/>
          <w:color w:val="000000"/>
          <w:sz w:val="32"/>
          <w:szCs w:val="32"/>
          <w:lang w:val="en-US"/>
        </w:rPr>
        <w:t>占地面积为</w:t>
      </w:r>
      <w:r>
        <w:rPr>
          <w:rFonts w:hint="eastAsia" w:ascii="仿宋_GB2312" w:hAnsi="仿宋_GB2312" w:eastAsia="仿宋_GB2312" w:cs="仿宋_GB2312"/>
          <w:color w:val="000000"/>
          <w:sz w:val="32"/>
          <w:szCs w:val="32"/>
          <w:lang w:val="en-US" w:eastAsia="zh-CN"/>
        </w:rPr>
        <w:t>15</w:t>
      </w:r>
      <w:r>
        <w:rPr>
          <w:rFonts w:hint="eastAsia" w:ascii="仿宋_GB2312" w:hAnsi="仿宋_GB2312" w:eastAsia="仿宋_GB2312" w:cs="仿宋_GB2312"/>
          <w:color w:val="000000"/>
          <w:sz w:val="32"/>
          <w:szCs w:val="32"/>
          <w:lang w:val="en-US"/>
        </w:rPr>
        <w:t>m</w:t>
      </w:r>
      <w:r>
        <w:rPr>
          <w:rFonts w:hint="eastAsia" w:ascii="仿宋_GB2312" w:hAnsi="仿宋_GB2312" w:eastAsia="仿宋_GB2312" w:cs="仿宋_GB2312"/>
          <w:color w:val="000000"/>
          <w:sz w:val="32"/>
          <w:szCs w:val="32"/>
          <w:vertAlign w:val="superscript"/>
          <w:lang w:val="en-US"/>
        </w:rPr>
        <w:t>2</w:t>
      </w:r>
      <w:r>
        <w:rPr>
          <w:rFonts w:hint="eastAsia" w:ascii="仿宋_GB2312" w:hAnsi="仿宋_GB2312" w:eastAsia="仿宋_GB2312" w:cs="仿宋_GB2312"/>
          <w:color w:val="000000"/>
          <w:sz w:val="32"/>
          <w:szCs w:val="32"/>
          <w:vertAlign w:val="baseline"/>
          <w:lang w:val="en-US" w:eastAsia="zh-CN"/>
        </w:rPr>
        <w:t>（有效容积12m</w:t>
      </w:r>
      <w:r>
        <w:rPr>
          <w:rFonts w:hint="eastAsia" w:ascii="仿宋_GB2312" w:hAnsi="仿宋_GB2312" w:eastAsia="仿宋_GB2312" w:cs="仿宋_GB2312"/>
          <w:color w:val="000000"/>
          <w:sz w:val="32"/>
          <w:szCs w:val="32"/>
          <w:vertAlign w:val="superscript"/>
          <w:lang w:val="en-US" w:eastAsia="zh-CN"/>
        </w:rPr>
        <w:t>3</w:t>
      </w:r>
      <w:r>
        <w:rPr>
          <w:rFonts w:hint="eastAsia" w:ascii="仿宋_GB2312" w:hAnsi="仿宋_GB2312" w:eastAsia="仿宋_GB2312" w:cs="仿宋_GB2312"/>
          <w:color w:val="000000"/>
          <w:sz w:val="32"/>
          <w:szCs w:val="32"/>
          <w:vertAlign w:val="baseline"/>
          <w:lang w:val="en-US" w:eastAsia="zh-CN"/>
        </w:rPr>
        <w:t>），医疗废物暂存间按《危险废物贮存污染控制标准》（GB18597-2023）要求建设</w:t>
      </w:r>
      <w:r>
        <w:rPr>
          <w:rFonts w:hint="eastAsia" w:ascii="仿宋_GB2312" w:hAnsi="仿宋_GB2312" w:eastAsia="仿宋_GB2312" w:cs="仿宋_GB2312"/>
          <w:color w:val="000000"/>
          <w:sz w:val="32"/>
          <w:szCs w:val="32"/>
          <w:lang w:val="en-GB" w:eastAsia="zh-CN"/>
        </w:rPr>
        <w:t>医疗废物、污泥和废包装桶</w:t>
      </w:r>
      <w:r>
        <w:rPr>
          <w:rFonts w:hint="eastAsia" w:ascii="仿宋_GB2312" w:hAnsi="仿宋_GB2312" w:eastAsia="仿宋_GB2312" w:cs="仿宋_GB2312"/>
          <w:color w:val="000000"/>
          <w:sz w:val="32"/>
          <w:szCs w:val="32"/>
          <w:lang w:val="en-GB"/>
        </w:rPr>
        <w:t>收集后暂存于</w:t>
      </w:r>
      <w:r>
        <w:rPr>
          <w:rFonts w:hint="eastAsia" w:ascii="仿宋_GB2312" w:hAnsi="仿宋_GB2312" w:eastAsia="仿宋_GB2312" w:cs="仿宋_GB2312"/>
          <w:color w:val="000000"/>
          <w:sz w:val="32"/>
          <w:szCs w:val="32"/>
          <w:lang w:val="en-GB" w:eastAsia="zh-CN"/>
        </w:rPr>
        <w:t>医疗废物暂存间</w:t>
      </w:r>
      <w:r>
        <w:rPr>
          <w:rFonts w:hint="eastAsia" w:ascii="仿宋_GB2312" w:hAnsi="仿宋_GB2312" w:eastAsia="仿宋_GB2312" w:cs="仿宋_GB2312"/>
          <w:color w:val="000000"/>
          <w:sz w:val="32"/>
          <w:szCs w:val="32"/>
          <w:lang w:val="en-GB"/>
        </w:rPr>
        <w:t>，定期交由有资质单位处置</w:t>
      </w:r>
      <w:r>
        <w:rPr>
          <w:rFonts w:hint="eastAsia" w:ascii="仿宋_GB2312" w:hAnsi="仿宋_GB2312" w:eastAsia="仿宋_GB2312" w:cs="仿宋_GB2312"/>
          <w:color w:val="000000"/>
          <w:spacing w:val="4"/>
          <w:kern w:val="18"/>
          <w:sz w:val="32"/>
          <w:szCs w:val="32"/>
          <w:lang w:val="en-US" w:eastAsia="zh-CN" w:bidi="ar-SA"/>
        </w:rPr>
        <w:t>。</w:t>
      </w:r>
    </w:p>
    <w:p>
      <w:pPr>
        <w:keepNext w:val="0"/>
        <w:keepLines w:val="0"/>
        <w:pageBreakBefore w:val="0"/>
        <w:kinsoku/>
        <w:wordWrap/>
        <w:overflowPunct/>
        <w:topLinePunct w:val="0"/>
        <w:autoSpaceDE/>
        <w:autoSpaceDN/>
        <w:bidi w:val="0"/>
        <w:adjustRightInd w:val="0"/>
        <w:snapToGrid w:val="0"/>
        <w:spacing w:line="520" w:lineRule="exact"/>
        <w:ind w:firstLine="656" w:firstLineChars="200"/>
        <w:jc w:val="left"/>
        <w:textAlignment w:val="auto"/>
        <w:rPr>
          <w:rFonts w:hint="eastAsia" w:ascii="仿宋_GB2312" w:hAnsi="仿宋_GB2312" w:eastAsia="仿宋_GB2312" w:cs="仿宋_GB2312"/>
          <w:color w:val="000000"/>
          <w:spacing w:val="4"/>
          <w:kern w:val="18"/>
          <w:sz w:val="32"/>
          <w:szCs w:val="32"/>
          <w:lang w:val="en-US" w:eastAsia="zh-CN" w:bidi="ar-SA"/>
        </w:rPr>
      </w:pPr>
      <w:r>
        <w:rPr>
          <w:rFonts w:hint="eastAsia" w:ascii="仿宋_GB2312" w:hAnsi="仿宋_GB2312" w:eastAsia="仿宋_GB2312" w:cs="仿宋_GB2312"/>
          <w:color w:val="000000"/>
          <w:spacing w:val="4"/>
          <w:kern w:val="18"/>
          <w:sz w:val="32"/>
          <w:szCs w:val="32"/>
          <w:lang w:val="en-US" w:eastAsia="zh-CN" w:bidi="ar-SA"/>
        </w:rPr>
        <w:t>生活垃圾统一收集由环卫部门定期清运处理。</w:t>
      </w:r>
    </w:p>
    <w:p>
      <w:pPr>
        <w:pStyle w:val="4"/>
        <w:adjustRightInd w:val="0"/>
        <w:snapToGrid w:val="0"/>
        <w:spacing w:line="520" w:lineRule="exact"/>
        <w:ind w:firstLine="659"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bCs/>
          <w:sz w:val="32"/>
          <w:szCs w:val="32"/>
        </w:rPr>
        <w:t>（六）严格落实地下水、土壤污染防治措施。</w:t>
      </w:r>
      <w:r>
        <w:rPr>
          <w:rFonts w:hint="eastAsia" w:ascii="仿宋_GB2312" w:hAnsi="仿宋_GB2312" w:eastAsia="仿宋_GB2312" w:cs="仿宋_GB2312"/>
          <w:b w:val="0"/>
          <w:bCs w:val="0"/>
          <w:color w:val="000000" w:themeColor="text1"/>
          <w:kern w:val="0"/>
          <w:sz w:val="32"/>
          <w:szCs w:val="32"/>
          <w:lang w:val="en-US" w:eastAsia="zh-CN" w:bidi="ar"/>
          <w14:textFill>
            <w14:solidFill>
              <w14:schemeClr w14:val="tx1"/>
            </w14:solidFill>
          </w14:textFill>
        </w:rPr>
        <w:t>做好</w:t>
      </w:r>
      <w:r>
        <w:rPr>
          <w:rFonts w:hint="eastAsia" w:ascii="仿宋_GB2312" w:hAnsi="仿宋_GB2312" w:eastAsia="仿宋_GB2312" w:cs="仿宋_GB2312"/>
          <w:b w:val="0"/>
          <w:bCs w:val="0"/>
          <w:color w:val="000000"/>
          <w:kern w:val="0"/>
          <w:sz w:val="32"/>
          <w:szCs w:val="32"/>
        </w:rPr>
        <w:t>源头控制</w:t>
      </w:r>
      <w:r>
        <w:rPr>
          <w:rFonts w:hint="eastAsia" w:ascii="仿宋_GB2312" w:hAnsi="仿宋_GB2312" w:eastAsia="仿宋_GB2312" w:cs="仿宋_GB2312"/>
          <w:b w:val="0"/>
          <w:bCs w:val="0"/>
          <w:color w:val="000000"/>
          <w:kern w:val="0"/>
          <w:sz w:val="32"/>
          <w:szCs w:val="32"/>
          <w:lang w:eastAsia="zh-CN"/>
        </w:rPr>
        <w:t>，</w:t>
      </w:r>
      <w:r>
        <w:rPr>
          <w:rFonts w:hint="eastAsia" w:ascii="仿宋_GB2312" w:hAnsi="仿宋_GB2312" w:eastAsia="仿宋_GB2312" w:cs="仿宋_GB2312"/>
          <w:color w:val="000000"/>
          <w:sz w:val="32"/>
          <w:szCs w:val="32"/>
        </w:rPr>
        <w:t>对</w:t>
      </w:r>
      <w:r>
        <w:rPr>
          <w:rFonts w:hint="eastAsia" w:ascii="仿宋_GB2312" w:hAnsi="仿宋_GB2312" w:eastAsia="仿宋_GB2312" w:cs="仿宋_GB2312"/>
          <w:color w:val="000000"/>
          <w:sz w:val="32"/>
          <w:szCs w:val="32"/>
          <w:lang w:val="en-US" w:eastAsia="zh-CN"/>
        </w:rPr>
        <w:t>危废暂存场所及污水站等</w:t>
      </w:r>
      <w:r>
        <w:rPr>
          <w:rFonts w:hint="eastAsia" w:ascii="仿宋_GB2312" w:hAnsi="仿宋_GB2312" w:eastAsia="仿宋_GB2312" w:cs="仿宋_GB2312"/>
          <w:color w:val="000000"/>
          <w:sz w:val="32"/>
          <w:szCs w:val="32"/>
        </w:rPr>
        <w:t>采取相应的防护措施，防止污染物跑、冒、滴、漏，将污染物泄漏的环境风险事故降到最低程度</w:t>
      </w:r>
      <w:r>
        <w:rPr>
          <w:rFonts w:hint="eastAsia" w:ascii="仿宋_GB2312" w:hAnsi="仿宋_GB2312" w:eastAsia="仿宋_GB2312" w:cs="仿宋_GB2312"/>
          <w:color w:val="000000"/>
          <w:sz w:val="32"/>
          <w:szCs w:val="32"/>
          <w:lang w:val="zh-CN"/>
        </w:rPr>
        <w:t>。</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color w:val="000000"/>
          <w:kern w:val="0"/>
          <w:sz w:val="32"/>
          <w:szCs w:val="32"/>
          <w:lang w:eastAsia="zh-CN"/>
        </w:rPr>
        <w:t>做好</w:t>
      </w:r>
      <w:r>
        <w:rPr>
          <w:rFonts w:hint="eastAsia" w:ascii="仿宋_GB2312" w:hAnsi="仿宋_GB2312" w:eastAsia="仿宋_GB2312" w:cs="仿宋_GB2312"/>
          <w:color w:val="000000"/>
          <w:kern w:val="0"/>
          <w:sz w:val="32"/>
          <w:szCs w:val="32"/>
        </w:rPr>
        <w:t>分区防控</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项目重点防渗区包括</w:t>
      </w:r>
      <w:r>
        <w:rPr>
          <w:rFonts w:hint="eastAsia" w:ascii="仿宋_GB2312" w:hAnsi="仿宋_GB2312" w:eastAsia="仿宋_GB2312" w:cs="仿宋_GB2312"/>
          <w:color w:val="000000"/>
          <w:kern w:val="0"/>
          <w:sz w:val="32"/>
          <w:szCs w:val="32"/>
          <w:lang w:val="en-US" w:eastAsia="zh-CN"/>
        </w:rPr>
        <w:t>医疗废物暂存间、污水站及事故池，</w:t>
      </w:r>
      <w:r>
        <w:rPr>
          <w:rFonts w:hint="eastAsia" w:ascii="仿宋_GB2312" w:hAnsi="仿宋_GB2312" w:eastAsia="仿宋_GB2312" w:cs="仿宋_GB2312"/>
          <w:color w:val="000000"/>
          <w:kern w:val="0"/>
          <w:sz w:val="32"/>
          <w:szCs w:val="32"/>
        </w:rPr>
        <w:t>满足等效黏土防渗层Mb≥1.5m，渗透系数≤10</w:t>
      </w:r>
      <w:r>
        <w:rPr>
          <w:rFonts w:hint="eastAsia" w:ascii="仿宋_GB2312" w:hAnsi="仿宋_GB2312" w:eastAsia="仿宋_GB2312" w:cs="仿宋_GB2312"/>
          <w:color w:val="000000"/>
          <w:kern w:val="0"/>
          <w:sz w:val="32"/>
          <w:szCs w:val="32"/>
          <w:highlight w:val="none"/>
          <w:vertAlign w:val="superscript"/>
        </w:rPr>
        <w:t>-</w:t>
      </w:r>
      <w:r>
        <w:rPr>
          <w:rFonts w:hint="eastAsia" w:ascii="仿宋_GB2312" w:hAnsi="仿宋_GB2312" w:eastAsia="仿宋_GB2312" w:cs="仿宋_GB2312"/>
          <w:color w:val="000000"/>
          <w:kern w:val="0"/>
          <w:sz w:val="32"/>
          <w:szCs w:val="32"/>
          <w:vertAlign w:val="superscript"/>
        </w:rPr>
        <w:t>7</w:t>
      </w:r>
      <w:r>
        <w:rPr>
          <w:rFonts w:hint="eastAsia" w:ascii="仿宋_GB2312" w:hAnsi="仿宋_GB2312" w:eastAsia="仿宋_GB2312" w:cs="仿宋_GB2312"/>
          <w:color w:val="000000"/>
          <w:kern w:val="0"/>
          <w:sz w:val="32"/>
          <w:szCs w:val="32"/>
        </w:rPr>
        <w:t>cm/s的防渗性能要求</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简单防渗区</w:t>
      </w:r>
      <w:r>
        <w:rPr>
          <w:rFonts w:hint="eastAsia" w:ascii="仿宋_GB2312" w:hAnsi="仿宋_GB2312" w:eastAsia="仿宋_GB2312" w:cs="仿宋_GB2312"/>
          <w:color w:val="000000"/>
          <w:sz w:val="32"/>
          <w:szCs w:val="32"/>
          <w:lang w:eastAsia="zh-CN"/>
        </w:rPr>
        <w:t>包括</w:t>
      </w:r>
      <w:r>
        <w:rPr>
          <w:rFonts w:hint="eastAsia" w:ascii="仿宋_GB2312" w:hAnsi="仿宋_GB2312" w:eastAsia="仿宋_GB2312" w:cs="仿宋_GB2312"/>
          <w:b w:val="0"/>
          <w:bCs/>
          <w:color w:val="000000"/>
          <w:sz w:val="32"/>
          <w:szCs w:val="32"/>
          <w:lang w:eastAsia="zh-CN"/>
        </w:rPr>
        <w:t>综合楼、附属楼、活动室、洗衣房、后勤周转房等</w:t>
      </w:r>
      <w:r>
        <w:rPr>
          <w:rFonts w:hint="eastAsia" w:ascii="仿宋_GB2312" w:hAnsi="仿宋_GB2312" w:eastAsia="仿宋_GB2312" w:cs="仿宋_GB2312"/>
          <w:color w:val="000000"/>
          <w:sz w:val="32"/>
          <w:szCs w:val="32"/>
        </w:rPr>
        <w:t>，地面进行水泥硬化处理</w:t>
      </w:r>
      <w:r>
        <w:rPr>
          <w:rFonts w:hint="eastAsia" w:ascii="仿宋_GB2312" w:hAnsi="仿宋_GB2312" w:eastAsia="仿宋_GB2312" w:cs="仿宋_GB2312"/>
          <w:kern w:val="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kern w:val="0"/>
          <w:sz w:val="32"/>
          <w:szCs w:val="32"/>
          <w:lang w:val="en-GB"/>
        </w:rPr>
      </w:pPr>
      <w:r>
        <w:rPr>
          <w:rFonts w:hint="eastAsia" w:ascii="仿宋_GB2312" w:hAnsi="仿宋_GB2312" w:eastAsia="仿宋_GB2312" w:cs="仿宋_GB2312"/>
          <w:b/>
          <w:bCs/>
          <w:sz w:val="32"/>
          <w:szCs w:val="32"/>
          <w:lang w:eastAsia="zh-CN"/>
        </w:rPr>
        <w:t>（七）</w:t>
      </w:r>
      <w:r>
        <w:rPr>
          <w:rFonts w:hint="eastAsia" w:ascii="仿宋_GB2312" w:hAnsi="仿宋_GB2312" w:eastAsia="仿宋_GB2312" w:cs="仿宋_GB2312"/>
          <w:b/>
          <w:bCs/>
          <w:sz w:val="32"/>
          <w:szCs w:val="32"/>
        </w:rPr>
        <w:t>严格落实环境风险防范措施。</w:t>
      </w:r>
      <w:r>
        <w:rPr>
          <w:rFonts w:hint="eastAsia" w:ascii="仿宋_GB2312" w:hAnsi="仿宋_GB2312" w:eastAsia="仿宋_GB2312" w:cs="仿宋_GB2312"/>
          <w:b w:val="0"/>
          <w:bCs w:val="0"/>
          <w:color w:val="000000" w:themeColor="text1"/>
          <w:kern w:val="0"/>
          <w:sz w:val="32"/>
          <w:szCs w:val="32"/>
          <w:lang w:val="en-US" w:eastAsia="zh-CN" w:bidi="ar"/>
          <w14:textFill>
            <w14:solidFill>
              <w14:schemeClr w14:val="tx1"/>
            </w14:solidFill>
          </w14:textFill>
        </w:rPr>
        <w:t>危</w:t>
      </w:r>
      <w:r>
        <w:rPr>
          <w:rFonts w:hint="eastAsia" w:ascii="仿宋_GB2312" w:hAnsi="仿宋_GB2312" w:eastAsia="仿宋_GB2312" w:cs="仿宋_GB2312"/>
          <w:color w:val="000000"/>
          <w:kern w:val="0"/>
          <w:sz w:val="32"/>
          <w:szCs w:val="32"/>
        </w:rPr>
        <w:t>险单元主要为</w:t>
      </w:r>
      <w:r>
        <w:rPr>
          <w:rFonts w:hint="eastAsia" w:ascii="仿宋_GB2312" w:hAnsi="仿宋_GB2312" w:eastAsia="仿宋_GB2312" w:cs="仿宋_GB2312"/>
          <w:color w:val="000000"/>
          <w:kern w:val="0"/>
          <w:sz w:val="32"/>
          <w:szCs w:val="32"/>
          <w:lang w:val="en-US" w:eastAsia="zh-CN"/>
        </w:rPr>
        <w:t>84消毒液添加区</w:t>
      </w:r>
      <w:r>
        <w:rPr>
          <w:rFonts w:hint="eastAsia" w:ascii="仿宋_GB2312" w:hAnsi="仿宋_GB2312" w:eastAsia="仿宋_GB2312" w:cs="仿宋_GB2312"/>
          <w:color w:val="000000"/>
          <w:kern w:val="0"/>
          <w:sz w:val="32"/>
          <w:szCs w:val="32"/>
        </w:rPr>
        <w:t>，涉及的危险物质有</w:t>
      </w:r>
      <w:r>
        <w:rPr>
          <w:rFonts w:hint="eastAsia" w:ascii="仿宋_GB2312" w:hAnsi="仿宋_GB2312" w:eastAsia="仿宋_GB2312" w:cs="仿宋_GB2312"/>
          <w:color w:val="000000"/>
          <w:kern w:val="0"/>
          <w:sz w:val="32"/>
          <w:szCs w:val="32"/>
          <w:lang w:eastAsia="zh-CN"/>
        </w:rPr>
        <w:t>次氯酸钠</w:t>
      </w:r>
      <w:r>
        <w:rPr>
          <w:rFonts w:hint="eastAsia" w:ascii="仿宋_GB2312" w:hAnsi="仿宋_GB2312" w:eastAsia="仿宋_GB2312" w:cs="仿宋_GB2312"/>
          <w:color w:val="000000"/>
          <w:kern w:val="0"/>
          <w:sz w:val="32"/>
          <w:szCs w:val="32"/>
        </w:rPr>
        <w:t>。项目通过</w:t>
      </w:r>
      <w:r>
        <w:rPr>
          <w:rFonts w:hint="eastAsia" w:ascii="仿宋_GB2312" w:hAnsi="仿宋_GB2312" w:eastAsia="仿宋_GB2312" w:cs="仿宋_GB2312"/>
          <w:color w:val="000000"/>
          <w:sz w:val="32"/>
          <w:szCs w:val="32"/>
          <w:lang w:eastAsia="zh-CN"/>
        </w:rPr>
        <w:t>相应的事故排放</w:t>
      </w:r>
      <w:r>
        <w:rPr>
          <w:rFonts w:hint="eastAsia" w:ascii="仿宋_GB2312" w:hAnsi="仿宋_GB2312" w:eastAsia="仿宋_GB2312" w:cs="仿宋_GB2312"/>
          <w:color w:val="000000"/>
          <w:sz w:val="32"/>
          <w:szCs w:val="32"/>
          <w:lang w:val="en-US" w:eastAsia="zh-CN"/>
        </w:rPr>
        <w:t>风险防范</w:t>
      </w:r>
      <w:r>
        <w:rPr>
          <w:rFonts w:hint="eastAsia" w:ascii="仿宋_GB2312" w:hAnsi="仿宋_GB2312" w:eastAsia="仿宋_GB2312" w:cs="仿宋_GB2312"/>
          <w:color w:val="000000"/>
          <w:sz w:val="32"/>
          <w:szCs w:val="32"/>
        </w:rPr>
        <w:t>措施</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制定完善、有效的环境风险突发事件应急预案</w:t>
      </w:r>
      <w:r>
        <w:rPr>
          <w:rFonts w:hint="eastAsia" w:ascii="仿宋_GB2312" w:hAnsi="仿宋_GB2312" w:eastAsia="仿宋_GB2312" w:cs="仿宋_GB2312"/>
          <w:color w:val="000000"/>
          <w:kern w:val="0"/>
          <w:sz w:val="32"/>
          <w:szCs w:val="32"/>
        </w:rPr>
        <w:t>，有效防控环境风险</w:t>
      </w:r>
      <w:r>
        <w:rPr>
          <w:rFonts w:hint="eastAsia" w:ascii="仿宋_GB2312" w:hAnsi="仿宋_GB2312" w:eastAsia="仿宋_GB2312" w:cs="仿宋_GB2312"/>
          <w:kern w:val="0"/>
          <w:sz w:val="32"/>
          <w:szCs w:val="32"/>
          <w:lang w:val="en-GB"/>
        </w:rPr>
        <w:t>。</w:t>
      </w:r>
    </w:p>
    <w:p>
      <w:pPr>
        <w:pStyle w:val="2"/>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kern w:val="2"/>
          <w:sz w:val="32"/>
          <w:szCs w:val="32"/>
          <w:lang w:val="en-GB" w:eastAsia="zh-CN" w:bidi="ar-SA"/>
        </w:rPr>
      </w:pPr>
      <w:r>
        <w:rPr>
          <w:rFonts w:hint="eastAsia" w:ascii="仿宋_GB2312" w:hAnsi="仿宋_GB2312" w:eastAsia="仿宋_GB2312" w:cs="仿宋_GB2312"/>
          <w:b/>
          <w:bCs/>
          <w:kern w:val="2"/>
          <w:sz w:val="32"/>
          <w:szCs w:val="32"/>
          <w:lang w:val="en-US" w:eastAsia="zh-CN" w:bidi="ar-SA"/>
        </w:rPr>
        <w:t>（八）严格落实卫生防护距离。</w:t>
      </w:r>
      <w:r>
        <w:rPr>
          <w:rFonts w:hint="eastAsia" w:ascii="仿宋_GB2312" w:hAnsi="仿宋_GB2312" w:eastAsia="仿宋_GB2312" w:cs="仿宋_GB2312"/>
          <w:b w:val="0"/>
          <w:bCs w:val="0"/>
          <w:kern w:val="2"/>
          <w:sz w:val="32"/>
          <w:szCs w:val="32"/>
          <w:lang w:val="en-US" w:eastAsia="zh-CN" w:bidi="ar-SA"/>
        </w:rPr>
        <w:t>项目卫生防护距离</w:t>
      </w:r>
      <w:r>
        <w:rPr>
          <w:rFonts w:hint="eastAsia" w:ascii="仿宋_GB2312" w:hAnsi="仿宋_GB2312" w:eastAsia="仿宋_GB2312" w:cs="仿宋_GB2312"/>
          <w:b w:val="0"/>
          <w:bCs w:val="0"/>
          <w:kern w:val="2"/>
          <w:sz w:val="32"/>
          <w:szCs w:val="32"/>
          <w:highlight w:val="none"/>
          <w:lang w:val="en-US" w:eastAsia="zh-CN" w:bidi="ar-SA"/>
        </w:rPr>
        <w:t>为</w:t>
      </w:r>
      <w:r>
        <w:rPr>
          <w:rFonts w:hint="eastAsia" w:ascii="仿宋_GB2312" w:hAnsi="仿宋_GB2312" w:eastAsia="仿宋_GB2312" w:cs="仿宋_GB2312"/>
          <w:b w:val="0"/>
          <w:bCs w:val="0"/>
          <w:kern w:val="2"/>
          <w:sz w:val="32"/>
          <w:szCs w:val="32"/>
          <w:lang w:val="en-US" w:eastAsia="zh-CN" w:bidi="ar-SA"/>
        </w:rPr>
        <w:t>污水站边界外延50m范围。根据现场调查，卫生防护距离内无居民和学校等对大气污染比较敏感的区域，满足卫生防护距离的要求。</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九</w:t>
      </w:r>
      <w:r>
        <w:rPr>
          <w:rFonts w:hint="eastAsia" w:ascii="仿宋_GB2312" w:hAnsi="仿宋_GB2312" w:eastAsia="仿宋_GB2312" w:cs="仿宋_GB2312"/>
          <w:b/>
          <w:bCs/>
          <w:sz w:val="32"/>
          <w:szCs w:val="32"/>
        </w:rPr>
        <w:t>）提高管理和运营水平，加强非正常工况的生态环境保护工作。</w:t>
      </w:r>
      <w:r>
        <w:rPr>
          <w:rFonts w:hint="eastAsia" w:ascii="仿宋_GB2312" w:hAnsi="仿宋_GB2312" w:eastAsia="仿宋_GB2312" w:cs="仿宋_GB2312"/>
          <w:sz w:val="32"/>
          <w:szCs w:val="32"/>
        </w:rPr>
        <w:t>定期对环保处理设施进行检查、维护，加强设备管理，认真做好设备、管道、阀门的检查工作，降低非正常工况发生频次及污染物排放量。</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十</w:t>
      </w:r>
      <w:r>
        <w:rPr>
          <w:rFonts w:hint="eastAsia" w:ascii="仿宋_GB2312" w:hAnsi="仿宋_GB2312" w:eastAsia="仿宋_GB2312" w:cs="仿宋_GB2312"/>
          <w:b/>
          <w:bCs/>
          <w:sz w:val="32"/>
          <w:szCs w:val="32"/>
        </w:rPr>
        <w:t>）严格落实污染源和生态环境监测计划。</w:t>
      </w:r>
      <w:r>
        <w:rPr>
          <w:rFonts w:hint="eastAsia" w:ascii="仿宋_GB2312" w:hAnsi="仿宋_GB2312" w:eastAsia="仿宋_GB2312" w:cs="仿宋_GB2312"/>
          <w:sz w:val="32"/>
          <w:szCs w:val="32"/>
        </w:rPr>
        <w:t>按照相关标准和规定要求，开展长期环境监测，保存原始监测记录，定期向公众公布污染物排放监测结果。</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黑体" w:hAnsi="黑体" w:eastAsia="黑体" w:cs="黑体"/>
          <w:b/>
          <w:bCs w:val="0"/>
          <w:sz w:val="32"/>
          <w:szCs w:val="32"/>
        </w:rPr>
      </w:pPr>
      <w:r>
        <w:rPr>
          <w:rFonts w:hint="eastAsia" w:ascii="黑体" w:hAnsi="黑体" w:eastAsia="黑体" w:cs="黑体"/>
          <w:b/>
          <w:bCs w:val="0"/>
          <w:sz w:val="32"/>
          <w:szCs w:val="32"/>
        </w:rPr>
        <w:t>三、其他要求</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（一）项目建设须严格执行配套的环境保护设施与主体工程“三同时”制度。</w:t>
      </w:r>
      <w:r>
        <w:rPr>
          <w:rFonts w:hint="eastAsia" w:ascii="仿宋_GB2312" w:hAnsi="仿宋_GB2312" w:eastAsia="仿宋_GB2312" w:cs="仿宋_GB2312"/>
          <w:sz w:val="32"/>
          <w:szCs w:val="32"/>
        </w:rPr>
        <w:t>按规定程序开展环境保护设施竣工自主验收，合格后方可正式投入运行。加强重点环保设备设计、施工、运行安全管理。环</w:t>
      </w:r>
      <w:r>
        <w:rPr>
          <w:rFonts w:hint="eastAsia" w:ascii="仿宋_GB2312" w:hAnsi="仿宋_GB2312" w:eastAsia="仿宋_GB2312" w:cs="仿宋_GB2312"/>
          <w:color w:val="000000" w:themeColor="text1"/>
          <w:sz w:val="32"/>
          <w:szCs w:val="32"/>
          <w14:textFill>
            <w14:solidFill>
              <w14:schemeClr w14:val="tx1"/>
            </w14:solidFill>
          </w14:textFill>
        </w:rPr>
        <w:t>境影响报告表经批准后，项目的性质、规模、地点、工艺或环境保护措施发生重大变动，应当重新报批环境影响报告表。自批准之日起超过五年后方开工建设的，环境影响报告表应当报审批部门重</w:t>
      </w:r>
      <w:r>
        <w:rPr>
          <w:rFonts w:hint="eastAsia" w:ascii="仿宋_GB2312" w:hAnsi="仿宋_GB2312" w:eastAsia="仿宋_GB2312" w:cs="仿宋_GB2312"/>
          <w:sz w:val="32"/>
          <w:szCs w:val="32"/>
        </w:rPr>
        <w:t>新审核。</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（二）积极主动配合接受生态环境主管部门的日常监督管理。</w:t>
      </w:r>
    </w:p>
    <w:p>
      <w:pPr>
        <w:keepNext w:val="0"/>
        <w:keepLines w:val="0"/>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pStyle w:val="6"/>
        <w:keepNext w:val="0"/>
        <w:keepLines w:val="0"/>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spacing w:line="600" w:lineRule="exact"/>
        <w:ind w:right="1216" w:rightChars="579"/>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上犹县行政审批局</w:t>
      </w:r>
    </w:p>
    <w:p>
      <w:pPr>
        <w:keepNext w:val="0"/>
        <w:keepLines w:val="0"/>
        <w:pageBreakBefore w:val="0"/>
        <w:widowControl w:val="0"/>
        <w:kinsoku/>
        <w:wordWrap/>
        <w:overflowPunct/>
        <w:topLinePunct w:val="0"/>
        <w:autoSpaceDE/>
        <w:autoSpaceDN/>
        <w:bidi w:val="0"/>
        <w:spacing w:line="600" w:lineRule="exact"/>
        <w:ind w:right="1216" w:rightChars="579" w:firstLine="4480" w:firstLineChars="14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日</w:t>
      </w:r>
    </w:p>
    <w:p>
      <w:pPr>
        <w:pStyle w:val="13"/>
        <w:keepNext w:val="0"/>
        <w:keepLines w:val="0"/>
        <w:pageBreakBefore w:val="0"/>
        <w:widowControl w:val="0"/>
        <w:kinsoku/>
        <w:wordWrap/>
        <w:overflowPunct/>
        <w:topLinePunct w:val="0"/>
        <w:bidi w:val="0"/>
        <w:spacing w:line="620" w:lineRule="exact"/>
        <w:textAlignment w:val="auto"/>
        <w:rPr>
          <w:rFonts w:ascii="Calibri" w:eastAsia="宋体" w:cs="Times New Roman"/>
        </w:rPr>
      </w:pPr>
    </w:p>
    <w:p>
      <w:pPr>
        <w:rPr>
          <w:rFonts w:ascii="Calibri" w:eastAsia="宋体" w:cs="Times New Roman"/>
        </w:rPr>
      </w:pPr>
    </w:p>
    <w:p>
      <w:pPr>
        <w:pStyle w:val="2"/>
        <w:rPr>
          <w:rFonts w:ascii="Calibri" w:eastAsia="宋体" w:cs="Times New Roman"/>
        </w:rPr>
      </w:pPr>
    </w:p>
    <w:p>
      <w:pPr>
        <w:rPr>
          <w:rFonts w:ascii="Calibri" w:eastAsia="宋体" w:cs="Times New Roman"/>
        </w:rPr>
      </w:pPr>
    </w:p>
    <w:p>
      <w:pPr>
        <w:pStyle w:val="2"/>
        <w:rPr>
          <w:rFonts w:ascii="Calibri" w:eastAsia="宋体" w:cs="Times New Roman"/>
        </w:rPr>
      </w:pPr>
    </w:p>
    <w:p>
      <w:pPr>
        <w:rPr>
          <w:rFonts w:ascii="Calibri" w:eastAsia="宋体" w:cs="Times New Roman"/>
        </w:rPr>
      </w:pPr>
    </w:p>
    <w:p>
      <w:pPr>
        <w:pStyle w:val="2"/>
        <w:rPr>
          <w:rFonts w:ascii="Calibri" w:eastAsia="宋体" w:cs="Times New Roman"/>
        </w:rPr>
      </w:pPr>
    </w:p>
    <w:p>
      <w:pPr>
        <w:rPr>
          <w:rFonts w:ascii="Calibri" w:eastAsia="宋体" w:cs="Times New Roman"/>
        </w:rPr>
      </w:pPr>
    </w:p>
    <w:p>
      <w:pPr>
        <w:pStyle w:val="2"/>
        <w:rPr>
          <w:rFonts w:ascii="Calibri" w:eastAsia="宋体" w:cs="Times New Roman"/>
        </w:rPr>
      </w:pPr>
    </w:p>
    <w:p>
      <w:pPr>
        <w:rPr>
          <w:rFonts w:ascii="Calibri" w:eastAsia="宋体" w:cs="Times New Roman"/>
        </w:rPr>
      </w:pPr>
    </w:p>
    <w:p>
      <w:pPr>
        <w:pStyle w:val="2"/>
        <w:rPr>
          <w:rFonts w:ascii="Calibri" w:eastAsia="宋体" w:cs="Times New Roman"/>
        </w:rPr>
      </w:pPr>
    </w:p>
    <w:p>
      <w:pPr>
        <w:rPr>
          <w:rFonts w:ascii="Calibri" w:eastAsia="宋体" w:cs="Times New Roman"/>
        </w:rPr>
      </w:pPr>
    </w:p>
    <w:p>
      <w:pPr>
        <w:pStyle w:val="2"/>
        <w:rPr>
          <w:rFonts w:ascii="Calibri" w:eastAsia="宋体" w:cs="Times New Roman"/>
        </w:rPr>
      </w:pPr>
    </w:p>
    <w:p>
      <w:pPr>
        <w:rPr>
          <w:rFonts w:ascii="Calibri" w:eastAsia="宋体" w:cs="Times New Roman"/>
        </w:rPr>
      </w:pPr>
    </w:p>
    <w:p>
      <w:pPr>
        <w:pStyle w:val="2"/>
        <w:rPr>
          <w:rFonts w:ascii="Calibri" w:eastAsia="宋体" w:cs="Times New Roman"/>
        </w:rPr>
      </w:pPr>
    </w:p>
    <w:p/>
    <w:p/>
    <w:p/>
    <w:p>
      <w:pPr>
        <w:keepNext w:val="0"/>
        <w:keepLines w:val="0"/>
        <w:pageBreakBefore w:val="0"/>
        <w:widowControl w:val="0"/>
        <w:kinsoku/>
        <w:wordWrap/>
        <w:overflowPunct/>
        <w:topLinePunct w:val="0"/>
        <w:bidi w:val="0"/>
        <w:adjustRightInd w:val="0"/>
        <w:snapToGrid w:val="0"/>
        <w:spacing w:line="620" w:lineRule="exact"/>
        <w:ind w:right="110"/>
        <w:textAlignment w:val="auto"/>
      </w:pPr>
    </w:p>
    <w:sectPr>
      <w:headerReference r:id="rId4" w:type="first"/>
      <w:footerReference r:id="rId7" w:type="first"/>
      <w:footerReference r:id="rId5" w:type="default"/>
      <w:headerReference r:id="rId3" w:type="even"/>
      <w:footerReference r:id="rId6" w:type="even"/>
      <w:pgSz w:w="11906" w:h="16838"/>
      <w:pgMar w:top="2098" w:right="1588" w:bottom="209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tabs>
        <w:tab w:val="center" w:pos="4153"/>
        <w:tab w:val="right" w:pos="8306"/>
      </w:tabs>
      <w:snapToGrid w:val="0"/>
      <w:jc w:val="left"/>
      <w:rPr>
        <w:rFonts w:ascii="宋体" w:hAnsi="宋体" w:eastAsia="宋体" w:cs="Times New Roman"/>
        <w:sz w:val="28"/>
      </w:rPr>
    </w:pPr>
    <w:r>
      <w:rPr>
        <w:rFonts w:hint="eastAsia" w:ascii="宋体" w:hAnsi="宋体" w:eastAsia="宋体" w:cs="Times New Roman"/>
        <w:sz w:val="28"/>
      </w:rPr>
      <w:t xml:space="preserve">— </w:t>
    </w:r>
    <w:r>
      <w:rPr>
        <w:rFonts w:ascii="宋体" w:hAnsi="宋体" w:eastAsia="宋体" w:cs="Times New Roman"/>
        <w:sz w:val="28"/>
        <w:szCs w:val="28"/>
      </w:rPr>
      <w:fldChar w:fldCharType="begin"/>
    </w:r>
    <w:r>
      <w:rPr>
        <w:rFonts w:ascii="宋体" w:hAnsi="宋体" w:eastAsia="宋体" w:cs="Times New Roman"/>
        <w:sz w:val="28"/>
      </w:rPr>
      <w:instrText xml:space="preserve">PAGE  </w:instrText>
    </w:r>
    <w:r>
      <w:rPr>
        <w:rFonts w:ascii="宋体" w:hAnsi="宋体" w:eastAsia="宋体" w:cs="Times New Roman"/>
        <w:sz w:val="28"/>
        <w:szCs w:val="28"/>
      </w:rPr>
      <w:fldChar w:fldCharType="separate"/>
    </w:r>
    <w:r>
      <w:rPr>
        <w:rFonts w:ascii="宋体" w:hAnsi="宋体" w:eastAsia="宋体" w:cs="Times New Roman"/>
        <w:sz w:val="28"/>
      </w:rPr>
      <w:t>6</w:t>
    </w:r>
    <w:r>
      <w:rPr>
        <w:rFonts w:ascii="宋体" w:hAnsi="宋体" w:eastAsia="宋体" w:cs="Times New Roman"/>
        <w:sz w:val="28"/>
        <w:szCs w:val="28"/>
      </w:rPr>
      <w:fldChar w:fldCharType="end"/>
    </w:r>
    <w:r>
      <w:rPr>
        <w:rFonts w:hint="eastAsia" w:ascii="宋体" w:hAnsi="宋体" w:eastAsia="宋体" w:cs="Times New Roman"/>
        <w:sz w:val="28"/>
      </w:rPr>
      <w:t xml:space="preserve"> —</w:t>
    </w:r>
  </w:p>
  <w:p>
    <w:pPr>
      <w:tabs>
        <w:tab w:val="center" w:pos="4153"/>
        <w:tab w:val="right" w:pos="8306"/>
      </w:tabs>
      <w:snapToGrid w:val="0"/>
      <w:jc w:val="left"/>
      <w:rPr>
        <w:rFonts w:ascii="Calibri" w:hAnsi="Calibri" w:eastAsia="宋体" w:cs="Times New Roman"/>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8BECD20-EA2E-4231-B398-EECE0AA85E0C}" w:val="WICy2fzV/1raisKME7L0N9JwTqA+OvoUpbgxe=YPFD4SZXhHc5Bt6QR3ujnmklGd8"/>
    <w:docVar w:name="commondata" w:val="eyJoZGlkIjoiM2MyNGFiYjA5YTEzM2QwNGRjZjVjZGVlNDZjNDEzMmYifQ=="/>
    <w:docVar w:name="DocumentID" w:val="{C3AA9ED1-654F-411B-87B7-D79B1C3BD3A6}"/>
  </w:docVars>
  <w:rsids>
    <w:rsidRoot w:val="0B2339D8"/>
    <w:rsid w:val="005B57CB"/>
    <w:rsid w:val="00875A8C"/>
    <w:rsid w:val="00933F07"/>
    <w:rsid w:val="00B62AF2"/>
    <w:rsid w:val="02126066"/>
    <w:rsid w:val="032724C5"/>
    <w:rsid w:val="033E1F62"/>
    <w:rsid w:val="03C64650"/>
    <w:rsid w:val="03D120AF"/>
    <w:rsid w:val="0482210D"/>
    <w:rsid w:val="09970BEC"/>
    <w:rsid w:val="0A1524CD"/>
    <w:rsid w:val="0A3E1750"/>
    <w:rsid w:val="0A62550D"/>
    <w:rsid w:val="0A9F251E"/>
    <w:rsid w:val="0B2339D8"/>
    <w:rsid w:val="0BBE75D5"/>
    <w:rsid w:val="0CC23199"/>
    <w:rsid w:val="0CF630C1"/>
    <w:rsid w:val="0F2958F7"/>
    <w:rsid w:val="109C3E7E"/>
    <w:rsid w:val="11766588"/>
    <w:rsid w:val="11AE7D2B"/>
    <w:rsid w:val="11D547A3"/>
    <w:rsid w:val="12BB7E59"/>
    <w:rsid w:val="13794265"/>
    <w:rsid w:val="13822816"/>
    <w:rsid w:val="13CF0CBB"/>
    <w:rsid w:val="148024A0"/>
    <w:rsid w:val="1492500C"/>
    <w:rsid w:val="15CA205A"/>
    <w:rsid w:val="171A7074"/>
    <w:rsid w:val="192553CB"/>
    <w:rsid w:val="1AC84C92"/>
    <w:rsid w:val="1E757362"/>
    <w:rsid w:val="1E952C2C"/>
    <w:rsid w:val="1EA20892"/>
    <w:rsid w:val="1F3B1B5F"/>
    <w:rsid w:val="22023DA6"/>
    <w:rsid w:val="22790B8B"/>
    <w:rsid w:val="23334268"/>
    <w:rsid w:val="23C039F6"/>
    <w:rsid w:val="24237BA6"/>
    <w:rsid w:val="2480392B"/>
    <w:rsid w:val="24B22F90"/>
    <w:rsid w:val="25F93A28"/>
    <w:rsid w:val="269E6E6D"/>
    <w:rsid w:val="276A7175"/>
    <w:rsid w:val="27A02F3E"/>
    <w:rsid w:val="27C460E5"/>
    <w:rsid w:val="28BF6885"/>
    <w:rsid w:val="28E85990"/>
    <w:rsid w:val="294A7FAB"/>
    <w:rsid w:val="2A183F30"/>
    <w:rsid w:val="2B8F375C"/>
    <w:rsid w:val="2B9149F7"/>
    <w:rsid w:val="2C8C3D4C"/>
    <w:rsid w:val="2D000CB4"/>
    <w:rsid w:val="2DB1779A"/>
    <w:rsid w:val="2F4E690C"/>
    <w:rsid w:val="30456075"/>
    <w:rsid w:val="304B5419"/>
    <w:rsid w:val="31740D0A"/>
    <w:rsid w:val="333A69DB"/>
    <w:rsid w:val="33DE1D3F"/>
    <w:rsid w:val="357B3AB1"/>
    <w:rsid w:val="35B01CD3"/>
    <w:rsid w:val="36D73558"/>
    <w:rsid w:val="371B7695"/>
    <w:rsid w:val="37513B6C"/>
    <w:rsid w:val="385561F4"/>
    <w:rsid w:val="3980113F"/>
    <w:rsid w:val="3A646D91"/>
    <w:rsid w:val="3B484CF9"/>
    <w:rsid w:val="3B8400A3"/>
    <w:rsid w:val="3B962777"/>
    <w:rsid w:val="3D4F1D26"/>
    <w:rsid w:val="3D944009"/>
    <w:rsid w:val="3E8B1DB8"/>
    <w:rsid w:val="3E8C74FE"/>
    <w:rsid w:val="3F023231"/>
    <w:rsid w:val="3F1E7AFA"/>
    <w:rsid w:val="3F6935EF"/>
    <w:rsid w:val="40951D82"/>
    <w:rsid w:val="40E43FDA"/>
    <w:rsid w:val="44050D5F"/>
    <w:rsid w:val="44AB74EC"/>
    <w:rsid w:val="45D622C4"/>
    <w:rsid w:val="46615D65"/>
    <w:rsid w:val="481209F1"/>
    <w:rsid w:val="48DE6E3B"/>
    <w:rsid w:val="496A55CE"/>
    <w:rsid w:val="498020C2"/>
    <w:rsid w:val="4A9D3E59"/>
    <w:rsid w:val="4AE603C3"/>
    <w:rsid w:val="4CAD7E44"/>
    <w:rsid w:val="4D994433"/>
    <w:rsid w:val="4EE37D8E"/>
    <w:rsid w:val="4F6A7BD9"/>
    <w:rsid w:val="50386007"/>
    <w:rsid w:val="51B360B7"/>
    <w:rsid w:val="51F6099B"/>
    <w:rsid w:val="54210FB7"/>
    <w:rsid w:val="54843528"/>
    <w:rsid w:val="57D531B8"/>
    <w:rsid w:val="58FD3BCC"/>
    <w:rsid w:val="5951265A"/>
    <w:rsid w:val="5A2E3EE0"/>
    <w:rsid w:val="5B070720"/>
    <w:rsid w:val="5B860DB6"/>
    <w:rsid w:val="5BB622D7"/>
    <w:rsid w:val="5BF7644F"/>
    <w:rsid w:val="5E8446B6"/>
    <w:rsid w:val="5F034385"/>
    <w:rsid w:val="5FC06BDC"/>
    <w:rsid w:val="655B4B37"/>
    <w:rsid w:val="65BD10BF"/>
    <w:rsid w:val="66B728F2"/>
    <w:rsid w:val="6798174A"/>
    <w:rsid w:val="67A3767F"/>
    <w:rsid w:val="68231D95"/>
    <w:rsid w:val="68B612FB"/>
    <w:rsid w:val="69187931"/>
    <w:rsid w:val="692A2AC2"/>
    <w:rsid w:val="697F0366"/>
    <w:rsid w:val="6A8B4733"/>
    <w:rsid w:val="6C3B55DF"/>
    <w:rsid w:val="6F36414A"/>
    <w:rsid w:val="702F4147"/>
    <w:rsid w:val="70334665"/>
    <w:rsid w:val="716B67CD"/>
    <w:rsid w:val="716E4AEA"/>
    <w:rsid w:val="724E6E49"/>
    <w:rsid w:val="72E55E4A"/>
    <w:rsid w:val="73012361"/>
    <w:rsid w:val="73263AC3"/>
    <w:rsid w:val="739A4B33"/>
    <w:rsid w:val="74501897"/>
    <w:rsid w:val="74F576E6"/>
    <w:rsid w:val="75BB3DC8"/>
    <w:rsid w:val="76A72047"/>
    <w:rsid w:val="76D91737"/>
    <w:rsid w:val="77CD5AA8"/>
    <w:rsid w:val="786C6A7C"/>
    <w:rsid w:val="7B064EFC"/>
    <w:rsid w:val="7B1D7E47"/>
    <w:rsid w:val="7C393AE4"/>
    <w:rsid w:val="7CA47567"/>
    <w:rsid w:val="7D8C2F2A"/>
    <w:rsid w:val="7E926C4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1"/>
    <w:qFormat/>
    <w:uiPriority w:val="0"/>
    <w:rPr>
      <w:sz w:val="32"/>
    </w:rPr>
  </w:style>
  <w:style w:type="paragraph" w:styleId="4">
    <w:name w:val="Normal Indent"/>
    <w:basedOn w:val="1"/>
    <w:next w:val="1"/>
    <w:qFormat/>
    <w:uiPriority w:val="0"/>
    <w:pPr>
      <w:ind w:firstLine="420"/>
    </w:pPr>
    <w:rPr>
      <w:rFonts w:ascii="仿宋_GB2312"/>
      <w:spacing w:val="4"/>
      <w:kern w:val="18"/>
      <w:szCs w:val="28"/>
    </w:rPr>
  </w:style>
  <w:style w:type="paragraph" w:styleId="5">
    <w:name w:val="annotation text"/>
    <w:basedOn w:val="1"/>
    <w:qFormat/>
    <w:uiPriority w:val="0"/>
    <w:pPr>
      <w:jc w:val="left"/>
    </w:pPr>
  </w:style>
  <w:style w:type="paragraph" w:styleId="6">
    <w:name w:val="Body Text Indent"/>
    <w:basedOn w:val="1"/>
    <w:next w:val="1"/>
    <w:qFormat/>
    <w:uiPriority w:val="0"/>
    <w:pPr>
      <w:spacing w:after="120"/>
      <w:ind w:left="420" w:leftChars="200"/>
    </w:pPr>
  </w:style>
  <w:style w:type="paragraph" w:styleId="7">
    <w:name w:val="footer"/>
    <w:basedOn w:val="1"/>
    <w:link w:val="17"/>
    <w:qFormat/>
    <w:uiPriority w:val="0"/>
    <w:pPr>
      <w:tabs>
        <w:tab w:val="center" w:pos="4153"/>
        <w:tab w:val="right" w:pos="8306"/>
      </w:tabs>
      <w:snapToGrid w:val="0"/>
      <w:jc w:val="left"/>
    </w:pPr>
    <w:rPr>
      <w:sz w:val="18"/>
      <w:szCs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2">
    <w:name w:val="xl27"/>
    <w:basedOn w:val="1"/>
    <w:qFormat/>
    <w:uiPriority w:val="0"/>
    <w:pPr>
      <w:widowControl/>
      <w:pBdr>
        <w:bottom w:val="single" w:color="auto" w:sz="12" w:space="0"/>
      </w:pBdr>
      <w:spacing w:before="100" w:after="100"/>
      <w:ind w:firstLine="839"/>
      <w:jc w:val="center"/>
    </w:pPr>
    <w:rPr>
      <w:rFonts w:ascii="宋体" w:hAnsi="宋体"/>
      <w:szCs w:val="20"/>
    </w:rPr>
  </w:style>
  <w:style w:type="paragraph" w:customStyle="1" w:styleId="13">
    <w:name w:val="Default1"/>
    <w:basedOn w:val="14"/>
    <w:next w:val="1"/>
    <w:qFormat/>
    <w:uiPriority w:val="0"/>
    <w:pPr>
      <w:widowControl w:val="0"/>
      <w:autoSpaceDE w:val="0"/>
      <w:autoSpaceDN w:val="0"/>
      <w:adjustRightInd w:val="0"/>
    </w:pPr>
    <w:rPr>
      <w:rFonts w:ascii="宋体" w:cs="宋体"/>
      <w:color w:val="000000"/>
      <w:sz w:val="24"/>
      <w:szCs w:val="24"/>
      <w:lang w:val="en-US" w:eastAsia="zh-CN"/>
    </w:rPr>
  </w:style>
  <w:style w:type="paragraph" w:customStyle="1" w:styleId="14">
    <w:name w:val="Normal_14_0"/>
    <w:qFormat/>
    <w:uiPriority w:val="0"/>
    <w:pPr>
      <w:spacing w:before="120" w:after="240"/>
      <w:jc w:val="both"/>
    </w:pPr>
    <w:rPr>
      <w:rFonts w:ascii="Calibri" w:hAnsi="Calibri" w:eastAsia="Calibri" w:cs="Times New Roman"/>
      <w:sz w:val="22"/>
      <w:szCs w:val="22"/>
      <w:lang w:val="ru-RU" w:eastAsia="en-US" w:bidi="ar-SA"/>
    </w:rPr>
  </w:style>
  <w:style w:type="paragraph" w:customStyle="1" w:styleId="15">
    <w:name w:val="A正文"/>
    <w:basedOn w:val="1"/>
    <w:qFormat/>
    <w:uiPriority w:val="0"/>
    <w:pPr>
      <w:snapToGrid w:val="0"/>
      <w:ind w:firstLine="480"/>
    </w:pPr>
    <w:rPr>
      <w:rFonts w:ascii="Times New Roman"/>
      <w:szCs w:val="21"/>
      <w:lang w:val="zh-CN"/>
    </w:rPr>
  </w:style>
  <w:style w:type="character" w:customStyle="1" w:styleId="16">
    <w:name w:val="页眉 Char"/>
    <w:basedOn w:val="11"/>
    <w:link w:val="8"/>
    <w:qFormat/>
    <w:uiPriority w:val="0"/>
    <w:rPr>
      <w:rFonts w:asciiTheme="minorHAnsi" w:hAnsiTheme="minorHAnsi" w:eastAsiaTheme="minorEastAsia" w:cstheme="minorBidi"/>
      <w:kern w:val="2"/>
      <w:sz w:val="18"/>
      <w:szCs w:val="18"/>
    </w:rPr>
  </w:style>
  <w:style w:type="character" w:customStyle="1" w:styleId="17">
    <w:name w:val="页脚 Char"/>
    <w:basedOn w:val="11"/>
    <w:link w:val="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6</Pages>
  <Words>2570</Words>
  <Characters>319</Characters>
  <Lines>2</Lines>
  <Paragraphs>5</Paragraphs>
  <TotalTime>14</TotalTime>
  <ScaleCrop>false</ScaleCrop>
  <LinksUpToDate>false</LinksUpToDate>
  <CharactersWithSpaces>2884</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2024-12-25T07:28:00Z</dcterms:created>
  <dc:creator>admin</dc:creator>
  <cp:lastModifiedBy>一个合格的喝水人</cp:lastModifiedBy>
  <cp:lastPrinted>2025-04-01T02:05:00Z</cp:lastPrinted>
  <dcterms:modified xsi:type="dcterms:W3CDTF">2025-08-11T15:31:44Z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y fmtid="{D5CDD505-2E9C-101B-9397-08002B2CF9AE}" pid="3" name="ICV">
    <vt:lpwstr>EA76A42842B4491DB83EE075C405C18B_13</vt:lpwstr>
  </property>
</Properties>
</file>