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52A1C">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 w:val="0"/>
          <w:bCs w:val="0"/>
          <w:color w:val="auto"/>
          <w:sz w:val="44"/>
          <w:szCs w:val="44"/>
        </w:rPr>
      </w:pPr>
      <w:bookmarkStart w:id="0" w:name="_GoBack"/>
      <w:r>
        <w:rPr>
          <w:rFonts w:hint="eastAsia" w:ascii="方正小标宋简体" w:hAnsi="方正小标宋简体" w:eastAsia="方正小标宋简体" w:cs="方正小标宋简体"/>
          <w:b w:val="0"/>
          <w:bCs w:val="0"/>
          <w:color w:val="auto"/>
          <w:sz w:val="44"/>
          <w:szCs w:val="44"/>
          <w:lang w:eastAsia="zh-CN"/>
        </w:rPr>
        <w:t>上犹县</w:t>
      </w:r>
      <w:r>
        <w:rPr>
          <w:rFonts w:hint="eastAsia" w:ascii="方正小标宋简体" w:hAnsi="方正小标宋简体" w:eastAsia="方正小标宋简体" w:cs="方正小标宋简体"/>
          <w:b w:val="0"/>
          <w:bCs w:val="0"/>
          <w:color w:val="auto"/>
          <w:sz w:val="44"/>
          <w:szCs w:val="44"/>
        </w:rPr>
        <w:t>节地生态安葬奖补实施办法</w:t>
      </w:r>
    </w:p>
    <w:p w14:paraId="56923EF9">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仿宋_GB2312" w:hAnsi="仿宋_GB2312" w:eastAsia="仿宋_GB2312" w:cs="仿宋_GB2312"/>
          <w:b/>
          <w:bCs/>
          <w:sz w:val="32"/>
          <w:szCs w:val="32"/>
          <w:lang w:val="en-US" w:eastAsia="zh-CN"/>
        </w:rPr>
        <w:t>（征求意见稿）</w:t>
      </w:r>
    </w:p>
    <w:bookmarkEnd w:id="0"/>
    <w:p w14:paraId="376BDA6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黑体" w:hAnsi="黑体" w:eastAsia="黑体" w:cs="黑体"/>
          <w:b w:val="0"/>
          <w:bCs w:val="0"/>
          <w:sz w:val="32"/>
          <w:szCs w:val="32"/>
        </w:rPr>
        <w:t>第一条</w:t>
      </w:r>
      <w:r>
        <w:rPr>
          <w:rFonts w:hint="eastAsia" w:ascii="仿宋_GB2312" w:hAnsi="仿宋_GB2312" w:eastAsia="仿宋_GB2312" w:cs="仿宋_GB2312"/>
          <w:sz w:val="32"/>
          <w:szCs w:val="32"/>
        </w:rPr>
        <w:t xml:space="preserve">  为进一步推进节地生态安葬工作，节约土地资源，保护生态环境，深化殡葬改革，倡导移风易俗，促进社会文明进步，根据节地生态安葬相关文件规定，结合我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实际，制定本办法。</w:t>
      </w:r>
    </w:p>
    <w:p w14:paraId="01E9B3C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黑体" w:hAnsi="黑体" w:eastAsia="黑体" w:cs="黑体"/>
          <w:b w:val="0"/>
          <w:bCs w:val="0"/>
          <w:sz w:val="32"/>
          <w:szCs w:val="32"/>
        </w:rPr>
        <w:t>第二条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color w:val="auto"/>
          <w:sz w:val="32"/>
          <w:szCs w:val="32"/>
          <w:lang w:val="en-US" w:eastAsia="zh-CN"/>
        </w:rPr>
        <w:t>本办法所称节地生态安葬，是以节约资源、保护环境为价值导向，鼓励和引导城乡居民将骨灰撒散到指定水域的江葬和通过撒散、深埋等不保留骨灰、不留标识、不单独留名的树葬、草坪葬、花坛葬等其他节地生态安葬方式。</w:t>
      </w:r>
    </w:p>
    <w:p w14:paraId="288604B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b w:val="0"/>
          <w:bCs w:val="0"/>
          <w:sz w:val="32"/>
          <w:szCs w:val="32"/>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eastAsia="zh-CN"/>
        </w:rPr>
        <w:t>县民政局负责节地生态安葬奖补政策的制定完善、组织实施、申请审批、奖励金发放，财政局负责经费保障管理，</w:t>
      </w:r>
      <w:r>
        <w:rPr>
          <w:rFonts w:hint="eastAsia" w:ascii="仿宋_GB2312" w:hAnsi="仿宋_GB2312" w:eastAsia="仿宋_GB2312" w:cs="仿宋_GB2312"/>
          <w:color w:val="auto"/>
          <w:sz w:val="32"/>
          <w:szCs w:val="32"/>
        </w:rPr>
        <w:t>各殡葬服务</w:t>
      </w:r>
      <w:r>
        <w:rPr>
          <w:rFonts w:hint="eastAsia" w:ascii="仿宋_GB2312" w:hAnsi="仿宋_GB2312" w:eastAsia="仿宋_GB2312" w:cs="仿宋_GB2312"/>
          <w:color w:val="auto"/>
          <w:sz w:val="32"/>
          <w:szCs w:val="32"/>
          <w:lang w:eastAsia="zh-CN"/>
        </w:rPr>
        <w:t>机构、各公墓单位</w:t>
      </w:r>
      <w:r>
        <w:rPr>
          <w:rFonts w:hint="eastAsia" w:ascii="仿宋_GB2312" w:hAnsi="仿宋_GB2312" w:eastAsia="仿宋_GB2312" w:cs="仿宋_GB2312"/>
          <w:sz w:val="32"/>
          <w:szCs w:val="32"/>
        </w:rPr>
        <w:t>负责具体承办并留存相关影像(图片)资料。</w:t>
      </w:r>
    </w:p>
    <w:p w14:paraId="4AF9A1F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本办法规定的节地生态安葬实行自愿报名，免费参加，骨灰闭环管理的方式。</w:t>
      </w:r>
    </w:p>
    <w:p w14:paraId="4B6C326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第四条</w:t>
      </w:r>
      <w:r>
        <w:rPr>
          <w:rFonts w:hint="eastAsia" w:ascii="仿宋_GB2312" w:hAnsi="仿宋_GB2312" w:eastAsia="仿宋_GB2312" w:cs="仿宋_GB2312"/>
          <w:sz w:val="32"/>
          <w:szCs w:val="32"/>
          <w:lang w:val="en-US" w:eastAsia="zh-CN"/>
        </w:rPr>
        <w:t xml:space="preserve">  凡具有上犹县户籍的城乡居民亡故后，参加我县节地生态安葬的，经办人可申请节地生态安葬奖励金。</w:t>
      </w:r>
    </w:p>
    <w:p w14:paraId="2DA3647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本办法所称经办人是指逝者生前的法定监护人、近亲属或者依法受托办理节地生态安葬事项的受托人。</w:t>
      </w:r>
    </w:p>
    <w:p w14:paraId="2894760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第五条</w:t>
      </w:r>
      <w:r>
        <w:rPr>
          <w:rFonts w:hint="eastAsia" w:ascii="仿宋_GB2312" w:hAnsi="仿宋_GB2312" w:eastAsia="仿宋_GB2312" w:cs="仿宋_GB2312"/>
          <w:sz w:val="32"/>
          <w:szCs w:val="32"/>
          <w:lang w:val="en-US" w:eastAsia="zh-CN"/>
        </w:rPr>
        <w:t xml:space="preserve">  节地生态安葬奖励金标准如下：</w:t>
      </w:r>
    </w:p>
    <w:p w14:paraId="561170C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（一）采取骨灰江葬、撒散后不保留骨灰安葬方式的，一次性给予每例奖励</w:t>
      </w:r>
      <w:r>
        <w:rPr>
          <w:rFonts w:hint="eastAsia" w:ascii="仿宋_GB2312" w:hAnsi="仿宋_GB2312" w:eastAsia="仿宋_GB2312" w:cs="仿宋_GB2312"/>
          <w:color w:val="auto"/>
          <w:sz w:val="32"/>
          <w:szCs w:val="32"/>
          <w:lang w:val="en-US" w:eastAsia="zh-CN"/>
        </w:rPr>
        <w:t>3000元</w:t>
      </w:r>
      <w:r>
        <w:rPr>
          <w:rFonts w:hint="eastAsia" w:ascii="仿宋_GB2312" w:hAnsi="仿宋_GB2312" w:eastAsia="仿宋_GB2312" w:cs="仿宋_GB2312"/>
          <w:sz w:val="32"/>
          <w:szCs w:val="32"/>
          <w:lang w:val="en-US" w:eastAsia="zh-CN"/>
        </w:rPr>
        <w:t xml:space="preserve">奖补。 </w:t>
      </w:r>
    </w:p>
    <w:p w14:paraId="77CE1E6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color w:val="auto"/>
          <w:sz w:val="32"/>
          <w:szCs w:val="32"/>
          <w:lang w:val="en-US" w:eastAsia="zh-CN"/>
        </w:rPr>
        <w:t>采取骨灰树葬、花葬、草坪葬、深埋等单独留标识、不占地或少占地生态安葬方式的(具体指将逝者骨灰用可降解骨灰盒装殓于地下，地面栽花、种草或植树，不单独立碑，仅在墓园内指定位置免费镌刻逝者姓名作为纪念，以便亲属祭扫),一次性给予每例1000元奖补。</w:t>
      </w:r>
    </w:p>
    <w:p w14:paraId="3502DEF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第六条 </w:t>
      </w:r>
      <w:r>
        <w:rPr>
          <w:rFonts w:hint="eastAsia" w:ascii="仿宋_GB2312" w:hAnsi="仿宋_GB2312" w:eastAsia="仿宋_GB2312" w:cs="仿宋_GB2312"/>
          <w:sz w:val="32"/>
          <w:szCs w:val="32"/>
          <w:lang w:val="en-US" w:eastAsia="zh-CN"/>
        </w:rPr>
        <w:t xml:space="preserve"> 参加我县节地生态安葬并符合申领节地生态安葬奖补条件的，经办人应提出申请，填写《上犹县节地生态安葬奖补申请审核表》，并提供经办人的身份证及逝者的户口簿、身份证及火化证明。</w:t>
      </w:r>
    </w:p>
    <w:p w14:paraId="6B89388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 xml:space="preserve">第七条  </w:t>
      </w:r>
      <w:r>
        <w:rPr>
          <w:rFonts w:hint="eastAsia" w:ascii="仿宋_GB2312" w:hAnsi="仿宋_GB2312" w:eastAsia="仿宋_GB2312" w:cs="仿宋_GB2312"/>
          <w:sz w:val="32"/>
          <w:szCs w:val="32"/>
          <w:lang w:val="en-US" w:eastAsia="zh-CN"/>
        </w:rPr>
        <w:t>节地生态安葬活动结束后，承办单位应及时建立业务档案，经初审并签署意见后，将符合奖励金申报条件的名单以及本办法第六条规定的申请材料和骨灰安放证原件、影像（图片）复印件，在安葬活动结束后的十个工作日内报送民政局审核。</w:t>
      </w:r>
    </w:p>
    <w:p w14:paraId="194E3BD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rPr>
        <w:t>各殡葬服务</w:t>
      </w:r>
      <w:r>
        <w:rPr>
          <w:rFonts w:hint="eastAsia" w:ascii="仿宋_GB2312" w:hAnsi="仿宋_GB2312" w:eastAsia="仿宋_GB2312" w:cs="仿宋_GB2312"/>
          <w:color w:val="auto"/>
          <w:sz w:val="32"/>
          <w:szCs w:val="32"/>
          <w:lang w:eastAsia="zh-CN"/>
        </w:rPr>
        <w:t>机构、各公墓单位</w:t>
      </w:r>
      <w:r>
        <w:rPr>
          <w:rFonts w:hint="default" w:ascii="仿宋_GB2312" w:hAnsi="仿宋_GB2312" w:eastAsia="仿宋_GB2312" w:cs="仿宋_GB2312"/>
          <w:sz w:val="32"/>
          <w:szCs w:val="32"/>
          <w:lang w:val="en-US" w:eastAsia="zh-CN"/>
        </w:rPr>
        <w:t>具体承办</w:t>
      </w:r>
      <w:r>
        <w:rPr>
          <w:rFonts w:hint="eastAsia" w:ascii="仿宋_GB2312" w:hAnsi="仿宋_GB2312" w:eastAsia="仿宋_GB2312" w:cs="仿宋_GB2312"/>
          <w:sz w:val="32"/>
          <w:szCs w:val="32"/>
          <w:lang w:val="en-US" w:eastAsia="zh-CN"/>
        </w:rPr>
        <w:t>的节地生态安葬活动，由民政局负责审核奖励金的发放，自收到承办单位报送的前款规定等材料之日起十个工作日内完成审核。经办人符合奖励条件的，申请材料齐全的，民政局在安葬活动结束后六十日内将奖励金一次性划入其申请材料指定的银行账户。</w:t>
      </w:r>
    </w:p>
    <w:p w14:paraId="400B7E9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第八条</w:t>
      </w:r>
      <w:r>
        <w:rPr>
          <w:rFonts w:hint="eastAsia" w:ascii="仿宋_GB2312" w:hAnsi="仿宋_GB2312" w:eastAsia="仿宋_GB2312" w:cs="仿宋_GB2312"/>
          <w:sz w:val="32"/>
          <w:szCs w:val="32"/>
          <w:lang w:val="en-US" w:eastAsia="zh-CN"/>
        </w:rPr>
        <w:t xml:space="preserve">  按照属地负责的原则，节地生态安葬奖励金由县民政局提出预算安排建议，由县财政局列入预算予以保障，专款专用。</w:t>
      </w:r>
    </w:p>
    <w:p w14:paraId="1D2D866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经办人申领节地生态安葬奖补资金，应按照本办法第六条规定如实提供相关材料，不得冒领、骗取奖励金，享受节地生态安葬奖励金后，如发现不符合条件或后续采取非节地生态安葬方式安葬的，民政局向经办人全额追回。</w:t>
      </w:r>
    </w:p>
    <w:p w14:paraId="1BA9CAA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民政局加强对节地生态安葬奖励政策的宣传，积极引导我县居民支持和参与节地生态安葬，并会同财政局做好对奖励资金发放和业务档案的监督管理，发现问题及时纠正并按规定予以处理。</w:t>
      </w:r>
    </w:p>
    <w:p w14:paraId="28A9D67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本办法自2025年x月x日起施行，有效期至20xx年x月x日止。以往制定的政策与本办法不一致的，以本办法为准。</w:t>
      </w:r>
    </w:p>
    <w:p w14:paraId="5A978A4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jc w:val="left"/>
        <w:textAlignment w:val="baseline"/>
        <w:rPr>
          <w:rFonts w:hint="eastAsia" w:ascii="仿宋_GB2312" w:hAnsi="仿宋_GB2312" w:eastAsia="仿宋_GB2312" w:cs="仿宋_GB2312"/>
          <w:sz w:val="32"/>
          <w:szCs w:val="32"/>
          <w:lang w:val="en-US" w:eastAsia="zh-CN"/>
        </w:rPr>
      </w:pPr>
    </w:p>
    <w:p w14:paraId="51A4503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附件：上犹县节地生态安葬奖补申请审核表</w:t>
      </w:r>
    </w:p>
    <w:p w14:paraId="51360DFC">
      <w:pPr>
        <w:spacing w:before="63" w:line="224" w:lineRule="auto"/>
        <w:ind w:left="469"/>
        <w:rPr>
          <w:rFonts w:ascii="黑体" w:hAnsi="黑体" w:eastAsia="黑体" w:cs="黑体"/>
          <w:b w:val="0"/>
          <w:bCs w:val="0"/>
          <w:sz w:val="31"/>
          <w:szCs w:val="31"/>
        </w:rPr>
      </w:pPr>
      <w:r>
        <w:rPr>
          <w:rFonts w:ascii="黑体" w:hAnsi="黑体" w:eastAsia="黑体" w:cs="黑体"/>
          <w:b w:val="0"/>
          <w:bCs w:val="0"/>
          <w:spacing w:val="-1"/>
          <w:sz w:val="31"/>
          <w:szCs w:val="31"/>
        </w:rPr>
        <w:t>附件</w:t>
      </w:r>
    </w:p>
    <w:p w14:paraId="46CEECE5">
      <w:pPr>
        <w:spacing w:before="71" w:line="243" w:lineRule="auto"/>
        <w:ind w:right="1336"/>
        <w:jc w:val="right"/>
        <w:rPr>
          <w:rFonts w:hint="eastAsia" w:ascii="方正小标宋简体" w:hAnsi="方正小标宋简体" w:eastAsia="方正小标宋简体" w:cs="方正小标宋简体"/>
          <w:b w:val="0"/>
          <w:bCs w:val="0"/>
          <w:sz w:val="44"/>
          <w:szCs w:val="44"/>
        </w:rPr>
      </w:pPr>
      <w:r>
        <w:rPr>
          <w:rFonts w:hint="eastAsia" w:ascii="宋体" w:hAnsi="宋体" w:eastAsia="宋体" w:cs="宋体"/>
          <w:b/>
          <w:bCs/>
          <w:spacing w:val="-3"/>
          <w:sz w:val="43"/>
          <w:szCs w:val="43"/>
          <w:lang w:val="en-US" w:eastAsia="zh-CN"/>
        </w:rPr>
        <w:t xml:space="preserve">    </w:t>
      </w:r>
      <w:r>
        <w:rPr>
          <w:rFonts w:hint="eastAsia" w:ascii="方正小标宋简体" w:hAnsi="方正小标宋简体" w:eastAsia="方正小标宋简体" w:cs="方正小标宋简体"/>
          <w:b w:val="0"/>
          <w:bCs w:val="0"/>
          <w:spacing w:val="-3"/>
          <w:sz w:val="44"/>
          <w:szCs w:val="44"/>
          <w:lang w:eastAsia="zh-CN"/>
        </w:rPr>
        <w:t>上犹县</w:t>
      </w:r>
      <w:r>
        <w:rPr>
          <w:rFonts w:hint="eastAsia" w:ascii="方正小标宋简体" w:hAnsi="方正小标宋简体" w:eastAsia="方正小标宋简体" w:cs="方正小标宋简体"/>
          <w:b w:val="0"/>
          <w:bCs w:val="0"/>
          <w:spacing w:val="-3"/>
          <w:sz w:val="44"/>
          <w:szCs w:val="44"/>
        </w:rPr>
        <w:t>节地生态安葬奖补</w:t>
      </w:r>
      <w:r>
        <w:rPr>
          <w:rFonts w:hint="eastAsia" w:ascii="方正小标宋简体" w:hAnsi="方正小标宋简体" w:eastAsia="方正小标宋简体" w:cs="方正小标宋简体"/>
          <w:b w:val="0"/>
          <w:bCs w:val="0"/>
          <w:spacing w:val="-9"/>
          <w:sz w:val="44"/>
          <w:szCs w:val="44"/>
        </w:rPr>
        <w:t>申请审</w:t>
      </w:r>
      <w:r>
        <w:rPr>
          <w:rFonts w:hint="eastAsia" w:ascii="方正小标宋简体" w:hAnsi="方正小标宋简体" w:eastAsia="方正小标宋简体" w:cs="方正小标宋简体"/>
          <w:b w:val="0"/>
          <w:bCs w:val="0"/>
          <w:spacing w:val="-9"/>
          <w:sz w:val="44"/>
          <w:szCs w:val="44"/>
          <w:lang w:eastAsia="zh-CN"/>
        </w:rPr>
        <w:t>核表</w:t>
      </w:r>
    </w:p>
    <w:p w14:paraId="293F0A65">
      <w:pPr>
        <w:spacing w:before="211"/>
      </w:pPr>
    </w:p>
    <w:tbl>
      <w:tblPr>
        <w:tblStyle w:val="5"/>
        <w:tblW w:w="9075" w:type="dxa"/>
        <w:tblInd w:w="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0"/>
        <w:gridCol w:w="1432"/>
        <w:gridCol w:w="1878"/>
        <w:gridCol w:w="1768"/>
        <w:gridCol w:w="2527"/>
      </w:tblGrid>
      <w:tr w14:paraId="4884D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470" w:type="dxa"/>
            <w:vMerge w:val="restart"/>
            <w:tcBorders>
              <w:bottom w:val="nil"/>
            </w:tcBorders>
            <w:vAlign w:val="top"/>
          </w:tcPr>
          <w:p w14:paraId="33880989">
            <w:pPr>
              <w:pStyle w:val="4"/>
              <w:spacing w:line="256" w:lineRule="auto"/>
            </w:pPr>
          </w:p>
          <w:p w14:paraId="15832C34">
            <w:pPr>
              <w:pStyle w:val="4"/>
              <w:spacing w:line="256" w:lineRule="auto"/>
            </w:pPr>
          </w:p>
          <w:p w14:paraId="031FD6CC">
            <w:pPr>
              <w:pStyle w:val="4"/>
              <w:spacing w:line="257" w:lineRule="auto"/>
            </w:pPr>
          </w:p>
          <w:p w14:paraId="6175E28B">
            <w:pPr>
              <w:pStyle w:val="4"/>
              <w:spacing w:line="257" w:lineRule="auto"/>
            </w:pPr>
          </w:p>
          <w:p w14:paraId="415D1523">
            <w:pPr>
              <w:spacing w:before="91" w:line="221" w:lineRule="auto"/>
              <w:ind w:left="429"/>
              <w:rPr>
                <w:rFonts w:hint="eastAsia" w:ascii="黑体" w:hAnsi="黑体" w:eastAsia="黑体" w:cs="黑体"/>
                <w:b w:val="0"/>
                <w:bCs w:val="0"/>
                <w:sz w:val="28"/>
                <w:szCs w:val="28"/>
              </w:rPr>
            </w:pPr>
            <w:r>
              <w:rPr>
                <w:rFonts w:hint="eastAsia" w:ascii="黑体" w:hAnsi="黑体" w:eastAsia="黑体" w:cs="黑体"/>
                <w:b w:val="0"/>
                <w:bCs w:val="0"/>
                <w:spacing w:val="-6"/>
                <w:sz w:val="28"/>
                <w:szCs w:val="28"/>
              </w:rPr>
              <w:t>逝者</w:t>
            </w:r>
          </w:p>
          <w:p w14:paraId="41E7DF11">
            <w:pPr>
              <w:spacing w:before="44" w:line="220" w:lineRule="auto"/>
              <w:ind w:left="429"/>
              <w:rPr>
                <w:rFonts w:ascii="宋体" w:hAnsi="宋体" w:eastAsia="宋体" w:cs="宋体"/>
                <w:sz w:val="28"/>
                <w:szCs w:val="28"/>
              </w:rPr>
            </w:pPr>
            <w:r>
              <w:rPr>
                <w:rFonts w:hint="eastAsia" w:ascii="黑体" w:hAnsi="黑体" w:eastAsia="黑体" w:cs="黑体"/>
                <w:b w:val="0"/>
                <w:bCs w:val="0"/>
                <w:spacing w:val="-3"/>
                <w:sz w:val="28"/>
                <w:szCs w:val="28"/>
              </w:rPr>
              <w:t>资料</w:t>
            </w:r>
          </w:p>
        </w:tc>
        <w:tc>
          <w:tcPr>
            <w:tcW w:w="1432" w:type="dxa"/>
            <w:vAlign w:val="top"/>
          </w:tcPr>
          <w:p w14:paraId="698DB9D9">
            <w:pPr>
              <w:spacing w:before="237" w:line="209"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姓</w:t>
            </w:r>
            <w:r>
              <w:rPr>
                <w:rFonts w:hint="eastAsia" w:ascii="仿宋_GB2312" w:hAnsi="仿宋_GB2312" w:eastAsia="仿宋_GB2312" w:cs="仿宋_GB2312"/>
                <w:spacing w:val="20"/>
                <w:sz w:val="28"/>
                <w:szCs w:val="28"/>
              </w:rPr>
              <w:t xml:space="preserve">   </w:t>
            </w:r>
            <w:r>
              <w:rPr>
                <w:rFonts w:hint="eastAsia" w:ascii="仿宋_GB2312" w:hAnsi="仿宋_GB2312" w:eastAsia="仿宋_GB2312" w:cs="仿宋_GB2312"/>
                <w:spacing w:val="-6"/>
                <w:sz w:val="28"/>
                <w:szCs w:val="28"/>
              </w:rPr>
              <w:t>名</w:t>
            </w:r>
          </w:p>
        </w:tc>
        <w:tc>
          <w:tcPr>
            <w:tcW w:w="1878" w:type="dxa"/>
            <w:vAlign w:val="top"/>
          </w:tcPr>
          <w:p w14:paraId="0562038F">
            <w:pPr>
              <w:pStyle w:val="4"/>
              <w:rPr>
                <w:rFonts w:hint="eastAsia" w:ascii="仿宋_GB2312" w:hAnsi="仿宋_GB2312" w:eastAsia="仿宋_GB2312" w:cs="仿宋_GB2312"/>
                <w:sz w:val="28"/>
                <w:szCs w:val="28"/>
              </w:rPr>
            </w:pPr>
          </w:p>
        </w:tc>
        <w:tc>
          <w:tcPr>
            <w:tcW w:w="1768" w:type="dxa"/>
            <w:vAlign w:val="top"/>
          </w:tcPr>
          <w:p w14:paraId="40DDE575">
            <w:pPr>
              <w:spacing w:before="237" w:line="209" w:lineRule="auto"/>
              <w:ind w:left="135"/>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rPr>
              <w:t>性</w:t>
            </w:r>
            <w:r>
              <w:rPr>
                <w:rFonts w:hint="eastAsia" w:ascii="仿宋_GB2312" w:hAnsi="仿宋_GB2312" w:eastAsia="仿宋_GB2312" w:cs="仿宋_GB2312"/>
                <w:spacing w:val="17"/>
                <w:sz w:val="28"/>
                <w:szCs w:val="28"/>
              </w:rPr>
              <w:t xml:space="preserve">   </w:t>
            </w:r>
            <w:r>
              <w:rPr>
                <w:rFonts w:hint="eastAsia" w:ascii="仿宋_GB2312" w:hAnsi="仿宋_GB2312" w:eastAsia="仿宋_GB2312" w:cs="仿宋_GB2312"/>
                <w:spacing w:val="-8"/>
                <w:sz w:val="28"/>
                <w:szCs w:val="28"/>
              </w:rPr>
              <w:t>别</w:t>
            </w:r>
          </w:p>
        </w:tc>
        <w:tc>
          <w:tcPr>
            <w:tcW w:w="2527" w:type="dxa"/>
            <w:vAlign w:val="top"/>
          </w:tcPr>
          <w:p w14:paraId="201026A0">
            <w:pPr>
              <w:pStyle w:val="4"/>
              <w:rPr>
                <w:rFonts w:hint="eastAsia" w:ascii="仿宋_GB2312" w:hAnsi="仿宋_GB2312" w:eastAsia="仿宋_GB2312" w:cs="仿宋_GB2312"/>
                <w:sz w:val="28"/>
                <w:szCs w:val="28"/>
              </w:rPr>
            </w:pPr>
          </w:p>
        </w:tc>
      </w:tr>
      <w:tr w14:paraId="0CABF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70" w:type="dxa"/>
            <w:vMerge w:val="continue"/>
            <w:tcBorders>
              <w:top w:val="nil"/>
              <w:bottom w:val="nil"/>
            </w:tcBorders>
            <w:vAlign w:val="top"/>
          </w:tcPr>
          <w:p w14:paraId="177C4FA2">
            <w:pPr>
              <w:pStyle w:val="4"/>
            </w:pPr>
          </w:p>
        </w:tc>
        <w:tc>
          <w:tcPr>
            <w:tcW w:w="1432" w:type="dxa"/>
            <w:vAlign w:val="top"/>
          </w:tcPr>
          <w:p w14:paraId="2022BD55">
            <w:pPr>
              <w:spacing w:before="245" w:line="201"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死亡时间</w:t>
            </w:r>
          </w:p>
        </w:tc>
        <w:tc>
          <w:tcPr>
            <w:tcW w:w="1878" w:type="dxa"/>
            <w:vAlign w:val="top"/>
          </w:tcPr>
          <w:p w14:paraId="1DCC3C53">
            <w:pPr>
              <w:pStyle w:val="4"/>
              <w:rPr>
                <w:rFonts w:hint="eastAsia" w:ascii="仿宋_GB2312" w:hAnsi="仿宋_GB2312" w:eastAsia="仿宋_GB2312" w:cs="仿宋_GB2312"/>
                <w:sz w:val="28"/>
                <w:szCs w:val="28"/>
              </w:rPr>
            </w:pPr>
          </w:p>
        </w:tc>
        <w:tc>
          <w:tcPr>
            <w:tcW w:w="1768" w:type="dxa"/>
            <w:vAlign w:val="top"/>
          </w:tcPr>
          <w:p w14:paraId="57A9BFA4">
            <w:pPr>
              <w:spacing w:before="234" w:line="208" w:lineRule="auto"/>
              <w:ind w:left="135"/>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死亡地点</w:t>
            </w:r>
          </w:p>
        </w:tc>
        <w:tc>
          <w:tcPr>
            <w:tcW w:w="2527" w:type="dxa"/>
            <w:vAlign w:val="top"/>
          </w:tcPr>
          <w:p w14:paraId="658A7891">
            <w:pPr>
              <w:pStyle w:val="4"/>
              <w:rPr>
                <w:rFonts w:hint="eastAsia" w:ascii="仿宋_GB2312" w:hAnsi="仿宋_GB2312" w:eastAsia="仿宋_GB2312" w:cs="仿宋_GB2312"/>
                <w:sz w:val="28"/>
                <w:szCs w:val="28"/>
              </w:rPr>
            </w:pPr>
          </w:p>
        </w:tc>
      </w:tr>
      <w:tr w14:paraId="6047B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470" w:type="dxa"/>
            <w:vMerge w:val="continue"/>
            <w:tcBorders>
              <w:top w:val="nil"/>
              <w:bottom w:val="nil"/>
            </w:tcBorders>
            <w:vAlign w:val="top"/>
          </w:tcPr>
          <w:p w14:paraId="7EE3CC69">
            <w:pPr>
              <w:pStyle w:val="4"/>
            </w:pPr>
          </w:p>
        </w:tc>
        <w:tc>
          <w:tcPr>
            <w:tcW w:w="1432" w:type="dxa"/>
            <w:vAlign w:val="top"/>
          </w:tcPr>
          <w:p w14:paraId="084DA0BD">
            <w:pPr>
              <w:spacing w:before="232" w:line="209"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火化地点</w:t>
            </w:r>
          </w:p>
        </w:tc>
        <w:tc>
          <w:tcPr>
            <w:tcW w:w="1878" w:type="dxa"/>
            <w:vAlign w:val="top"/>
          </w:tcPr>
          <w:p w14:paraId="35F725E6">
            <w:pPr>
              <w:pStyle w:val="4"/>
              <w:rPr>
                <w:rFonts w:hint="eastAsia" w:ascii="仿宋_GB2312" w:hAnsi="仿宋_GB2312" w:eastAsia="仿宋_GB2312" w:cs="仿宋_GB2312"/>
                <w:sz w:val="28"/>
                <w:szCs w:val="28"/>
              </w:rPr>
            </w:pPr>
          </w:p>
        </w:tc>
        <w:tc>
          <w:tcPr>
            <w:tcW w:w="1768" w:type="dxa"/>
            <w:vAlign w:val="top"/>
          </w:tcPr>
          <w:p w14:paraId="391B6AEE">
            <w:pPr>
              <w:spacing w:before="242" w:line="202" w:lineRule="auto"/>
              <w:ind w:left="135"/>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火化证编号</w:t>
            </w:r>
          </w:p>
        </w:tc>
        <w:tc>
          <w:tcPr>
            <w:tcW w:w="2527" w:type="dxa"/>
            <w:vAlign w:val="top"/>
          </w:tcPr>
          <w:p w14:paraId="4A932CEE">
            <w:pPr>
              <w:pStyle w:val="4"/>
              <w:rPr>
                <w:rFonts w:hint="eastAsia" w:ascii="仿宋_GB2312" w:hAnsi="仿宋_GB2312" w:eastAsia="仿宋_GB2312" w:cs="仿宋_GB2312"/>
                <w:sz w:val="28"/>
                <w:szCs w:val="28"/>
              </w:rPr>
            </w:pPr>
          </w:p>
        </w:tc>
      </w:tr>
      <w:tr w14:paraId="06036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470" w:type="dxa"/>
            <w:vMerge w:val="continue"/>
            <w:tcBorders>
              <w:top w:val="nil"/>
              <w:bottom w:val="nil"/>
            </w:tcBorders>
            <w:vAlign w:val="top"/>
          </w:tcPr>
          <w:p w14:paraId="6F853C09">
            <w:pPr>
              <w:pStyle w:val="4"/>
            </w:pPr>
          </w:p>
        </w:tc>
        <w:tc>
          <w:tcPr>
            <w:tcW w:w="1432" w:type="dxa"/>
            <w:vAlign w:val="top"/>
          </w:tcPr>
          <w:p w14:paraId="07BCAC02">
            <w:pPr>
              <w:spacing w:before="213" w:line="219"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身份证号</w:t>
            </w:r>
          </w:p>
        </w:tc>
        <w:tc>
          <w:tcPr>
            <w:tcW w:w="6173" w:type="dxa"/>
            <w:gridSpan w:val="3"/>
            <w:vAlign w:val="top"/>
          </w:tcPr>
          <w:p w14:paraId="33DE0F4D">
            <w:pPr>
              <w:pStyle w:val="4"/>
              <w:rPr>
                <w:rFonts w:hint="eastAsia" w:ascii="仿宋_GB2312" w:hAnsi="仿宋_GB2312" w:eastAsia="仿宋_GB2312" w:cs="仿宋_GB2312"/>
                <w:sz w:val="28"/>
                <w:szCs w:val="28"/>
              </w:rPr>
            </w:pPr>
          </w:p>
        </w:tc>
      </w:tr>
      <w:tr w14:paraId="2F886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70" w:type="dxa"/>
            <w:vMerge w:val="continue"/>
            <w:tcBorders>
              <w:top w:val="nil"/>
            </w:tcBorders>
            <w:vAlign w:val="top"/>
          </w:tcPr>
          <w:p w14:paraId="19D375D0">
            <w:pPr>
              <w:pStyle w:val="4"/>
            </w:pPr>
          </w:p>
        </w:tc>
        <w:tc>
          <w:tcPr>
            <w:tcW w:w="1432" w:type="dxa"/>
            <w:vAlign w:val="top"/>
          </w:tcPr>
          <w:p w14:paraId="0D094AA8">
            <w:pPr>
              <w:spacing w:before="223" w:line="215"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户籍地址</w:t>
            </w:r>
          </w:p>
        </w:tc>
        <w:tc>
          <w:tcPr>
            <w:tcW w:w="6173" w:type="dxa"/>
            <w:gridSpan w:val="3"/>
            <w:vAlign w:val="top"/>
          </w:tcPr>
          <w:p w14:paraId="285728A8">
            <w:pPr>
              <w:pStyle w:val="4"/>
              <w:rPr>
                <w:rFonts w:hint="eastAsia" w:ascii="仿宋_GB2312" w:hAnsi="仿宋_GB2312" w:eastAsia="仿宋_GB2312" w:cs="仿宋_GB2312"/>
                <w:sz w:val="28"/>
                <w:szCs w:val="28"/>
              </w:rPr>
            </w:pPr>
          </w:p>
        </w:tc>
      </w:tr>
      <w:tr w14:paraId="183A3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470" w:type="dxa"/>
            <w:vMerge w:val="restart"/>
            <w:tcBorders>
              <w:bottom w:val="nil"/>
            </w:tcBorders>
            <w:vAlign w:val="top"/>
          </w:tcPr>
          <w:p w14:paraId="451DAFDE">
            <w:pPr>
              <w:pStyle w:val="4"/>
              <w:spacing w:line="250" w:lineRule="auto"/>
            </w:pPr>
          </w:p>
          <w:p w14:paraId="13E81761">
            <w:pPr>
              <w:pStyle w:val="4"/>
              <w:spacing w:line="250" w:lineRule="auto"/>
            </w:pPr>
          </w:p>
          <w:p w14:paraId="756B8284">
            <w:pPr>
              <w:pStyle w:val="4"/>
              <w:spacing w:line="250" w:lineRule="auto"/>
            </w:pPr>
          </w:p>
          <w:p w14:paraId="71288200">
            <w:pPr>
              <w:pStyle w:val="4"/>
              <w:spacing w:line="251" w:lineRule="auto"/>
            </w:pPr>
          </w:p>
          <w:p w14:paraId="00979172">
            <w:pPr>
              <w:pStyle w:val="4"/>
              <w:spacing w:line="251" w:lineRule="auto"/>
            </w:pPr>
          </w:p>
          <w:p w14:paraId="6FB00A36">
            <w:pPr>
              <w:pStyle w:val="4"/>
              <w:spacing w:line="251" w:lineRule="auto"/>
            </w:pPr>
          </w:p>
          <w:p w14:paraId="62094F82">
            <w:pPr>
              <w:pStyle w:val="4"/>
              <w:spacing w:line="251" w:lineRule="auto"/>
            </w:pPr>
          </w:p>
          <w:p w14:paraId="1E94895A">
            <w:pPr>
              <w:pStyle w:val="4"/>
              <w:spacing w:line="251" w:lineRule="auto"/>
            </w:pPr>
          </w:p>
          <w:p w14:paraId="5D5C02AF">
            <w:pPr>
              <w:pStyle w:val="4"/>
              <w:spacing w:line="251" w:lineRule="auto"/>
            </w:pPr>
          </w:p>
          <w:p w14:paraId="3B8EB97D">
            <w:pPr>
              <w:pStyle w:val="4"/>
              <w:spacing w:line="251" w:lineRule="auto"/>
            </w:pPr>
          </w:p>
          <w:p w14:paraId="70F07A09">
            <w:pPr>
              <w:pStyle w:val="4"/>
              <w:spacing w:line="251" w:lineRule="auto"/>
            </w:pPr>
          </w:p>
          <w:p w14:paraId="632F03AE">
            <w:pPr>
              <w:pStyle w:val="4"/>
              <w:spacing w:line="251" w:lineRule="auto"/>
            </w:pPr>
          </w:p>
          <w:p w14:paraId="75A171EF">
            <w:pPr>
              <w:spacing w:before="91" w:line="274" w:lineRule="auto"/>
              <w:ind w:left="429" w:right="308" w:hanging="140"/>
              <w:rPr>
                <w:rFonts w:ascii="宋体" w:hAnsi="宋体" w:eastAsia="宋体" w:cs="宋体"/>
                <w:sz w:val="28"/>
                <w:szCs w:val="28"/>
              </w:rPr>
            </w:pPr>
            <w:r>
              <w:rPr>
                <w:rFonts w:hint="eastAsia" w:ascii="黑体" w:hAnsi="黑体" w:eastAsia="黑体" w:cs="黑体"/>
                <w:b w:val="0"/>
                <w:bCs w:val="0"/>
                <w:spacing w:val="-8"/>
                <w:sz w:val="28"/>
                <w:szCs w:val="28"/>
              </w:rPr>
              <w:t>经办人</w:t>
            </w:r>
            <w:r>
              <w:rPr>
                <w:rFonts w:hint="eastAsia" w:ascii="黑体" w:hAnsi="黑体" w:eastAsia="黑体" w:cs="黑体"/>
                <w:b w:val="0"/>
                <w:bCs w:val="0"/>
                <w:spacing w:val="1"/>
                <w:sz w:val="28"/>
                <w:szCs w:val="28"/>
              </w:rPr>
              <w:t xml:space="preserve"> </w:t>
            </w:r>
            <w:r>
              <w:rPr>
                <w:rFonts w:hint="eastAsia" w:ascii="黑体" w:hAnsi="黑体" w:eastAsia="黑体" w:cs="黑体"/>
                <w:b w:val="0"/>
                <w:bCs w:val="0"/>
                <w:spacing w:val="-3"/>
                <w:sz w:val="28"/>
                <w:szCs w:val="28"/>
              </w:rPr>
              <w:t>资料</w:t>
            </w:r>
          </w:p>
        </w:tc>
        <w:tc>
          <w:tcPr>
            <w:tcW w:w="1432" w:type="dxa"/>
            <w:vAlign w:val="top"/>
          </w:tcPr>
          <w:p w14:paraId="609294AD">
            <w:pPr>
              <w:spacing w:before="214" w:line="219"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姓</w:t>
            </w:r>
            <w:r>
              <w:rPr>
                <w:rFonts w:hint="eastAsia" w:ascii="仿宋_GB2312" w:hAnsi="仿宋_GB2312" w:eastAsia="仿宋_GB2312" w:cs="仿宋_GB2312"/>
                <w:spacing w:val="20"/>
                <w:sz w:val="28"/>
                <w:szCs w:val="28"/>
              </w:rPr>
              <w:t xml:space="preserve">   </w:t>
            </w:r>
            <w:r>
              <w:rPr>
                <w:rFonts w:hint="eastAsia" w:ascii="仿宋_GB2312" w:hAnsi="仿宋_GB2312" w:eastAsia="仿宋_GB2312" w:cs="仿宋_GB2312"/>
                <w:spacing w:val="-6"/>
                <w:sz w:val="28"/>
                <w:szCs w:val="28"/>
              </w:rPr>
              <w:t>名</w:t>
            </w:r>
          </w:p>
        </w:tc>
        <w:tc>
          <w:tcPr>
            <w:tcW w:w="1878" w:type="dxa"/>
            <w:vAlign w:val="top"/>
          </w:tcPr>
          <w:p w14:paraId="324EE79E">
            <w:pPr>
              <w:pStyle w:val="4"/>
              <w:rPr>
                <w:rFonts w:hint="eastAsia" w:ascii="仿宋_GB2312" w:hAnsi="仿宋_GB2312" w:eastAsia="仿宋_GB2312" w:cs="仿宋_GB2312"/>
                <w:sz w:val="28"/>
                <w:szCs w:val="28"/>
              </w:rPr>
            </w:pPr>
          </w:p>
        </w:tc>
        <w:tc>
          <w:tcPr>
            <w:tcW w:w="1768" w:type="dxa"/>
            <w:vAlign w:val="top"/>
          </w:tcPr>
          <w:p w14:paraId="57B15153">
            <w:pPr>
              <w:spacing w:before="245" w:line="200" w:lineRule="auto"/>
              <w:ind w:left="135"/>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与逝者关系</w:t>
            </w:r>
          </w:p>
        </w:tc>
        <w:tc>
          <w:tcPr>
            <w:tcW w:w="2527" w:type="dxa"/>
            <w:vAlign w:val="top"/>
          </w:tcPr>
          <w:p w14:paraId="1482319F">
            <w:pPr>
              <w:pStyle w:val="4"/>
              <w:rPr>
                <w:rFonts w:hint="eastAsia" w:ascii="仿宋_GB2312" w:hAnsi="仿宋_GB2312" w:eastAsia="仿宋_GB2312" w:cs="仿宋_GB2312"/>
                <w:sz w:val="28"/>
                <w:szCs w:val="28"/>
              </w:rPr>
            </w:pPr>
          </w:p>
        </w:tc>
      </w:tr>
      <w:tr w14:paraId="6C6EA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470" w:type="dxa"/>
            <w:vMerge w:val="continue"/>
            <w:tcBorders>
              <w:top w:val="nil"/>
              <w:bottom w:val="nil"/>
            </w:tcBorders>
            <w:vAlign w:val="top"/>
          </w:tcPr>
          <w:p w14:paraId="2F2FD561">
            <w:pPr>
              <w:pStyle w:val="4"/>
            </w:pPr>
          </w:p>
        </w:tc>
        <w:tc>
          <w:tcPr>
            <w:tcW w:w="1432" w:type="dxa"/>
            <w:vAlign w:val="top"/>
          </w:tcPr>
          <w:p w14:paraId="537664FB">
            <w:pPr>
              <w:spacing w:before="225" w:line="213"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身份证号</w:t>
            </w:r>
          </w:p>
        </w:tc>
        <w:tc>
          <w:tcPr>
            <w:tcW w:w="6173" w:type="dxa"/>
            <w:gridSpan w:val="3"/>
            <w:vAlign w:val="top"/>
          </w:tcPr>
          <w:p w14:paraId="108929BB">
            <w:pPr>
              <w:pStyle w:val="4"/>
              <w:rPr>
                <w:rFonts w:hint="eastAsia" w:ascii="仿宋_GB2312" w:hAnsi="仿宋_GB2312" w:eastAsia="仿宋_GB2312" w:cs="仿宋_GB2312"/>
                <w:sz w:val="28"/>
                <w:szCs w:val="28"/>
              </w:rPr>
            </w:pPr>
          </w:p>
        </w:tc>
      </w:tr>
      <w:tr w14:paraId="2D1C0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470" w:type="dxa"/>
            <w:vMerge w:val="continue"/>
            <w:tcBorders>
              <w:top w:val="nil"/>
              <w:bottom w:val="nil"/>
            </w:tcBorders>
            <w:vAlign w:val="top"/>
          </w:tcPr>
          <w:p w14:paraId="7C76EF51">
            <w:pPr>
              <w:pStyle w:val="4"/>
            </w:pPr>
          </w:p>
        </w:tc>
        <w:tc>
          <w:tcPr>
            <w:tcW w:w="1432" w:type="dxa"/>
            <w:vAlign w:val="top"/>
          </w:tcPr>
          <w:p w14:paraId="39C51F48">
            <w:pPr>
              <w:spacing w:before="215" w:line="213"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安葬方式</w:t>
            </w:r>
          </w:p>
        </w:tc>
        <w:tc>
          <w:tcPr>
            <w:tcW w:w="6173" w:type="dxa"/>
            <w:gridSpan w:val="3"/>
            <w:vAlign w:val="top"/>
          </w:tcPr>
          <w:p w14:paraId="23B951D7">
            <w:pPr>
              <w:pStyle w:val="4"/>
              <w:rPr>
                <w:rFonts w:hint="eastAsia" w:ascii="仿宋_GB2312" w:hAnsi="仿宋_GB2312" w:eastAsia="仿宋_GB2312" w:cs="仿宋_GB2312"/>
                <w:sz w:val="28"/>
                <w:szCs w:val="28"/>
              </w:rPr>
            </w:pPr>
          </w:p>
        </w:tc>
      </w:tr>
      <w:tr w14:paraId="42488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70" w:type="dxa"/>
            <w:vMerge w:val="continue"/>
            <w:tcBorders>
              <w:top w:val="nil"/>
              <w:bottom w:val="nil"/>
            </w:tcBorders>
            <w:vAlign w:val="top"/>
          </w:tcPr>
          <w:p w14:paraId="71985B28">
            <w:pPr>
              <w:pStyle w:val="4"/>
            </w:pPr>
          </w:p>
        </w:tc>
        <w:tc>
          <w:tcPr>
            <w:tcW w:w="1432" w:type="dxa"/>
            <w:vAlign w:val="top"/>
          </w:tcPr>
          <w:p w14:paraId="5DC63BC4">
            <w:pPr>
              <w:spacing w:before="226" w:line="213"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申领金额</w:t>
            </w:r>
          </w:p>
        </w:tc>
        <w:tc>
          <w:tcPr>
            <w:tcW w:w="6173" w:type="dxa"/>
            <w:gridSpan w:val="3"/>
            <w:vAlign w:val="top"/>
          </w:tcPr>
          <w:p w14:paraId="1DC04473">
            <w:pPr>
              <w:spacing w:before="258" w:line="192" w:lineRule="auto"/>
              <w:ind w:left="423"/>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3000元口</w:t>
            </w:r>
            <w:r>
              <w:rPr>
                <w:rFonts w:hint="eastAsia" w:ascii="仿宋_GB2312" w:hAnsi="仿宋_GB2312" w:eastAsia="仿宋_GB2312" w:cs="仿宋_GB2312"/>
                <w:spacing w:val="18"/>
                <w:sz w:val="28"/>
                <w:szCs w:val="28"/>
              </w:rPr>
              <w:t xml:space="preserve">   </w:t>
            </w:r>
            <w:r>
              <w:rPr>
                <w:rFonts w:hint="eastAsia" w:ascii="仿宋_GB2312" w:hAnsi="仿宋_GB2312" w:eastAsia="仿宋_GB2312" w:cs="仿宋_GB2312"/>
                <w:spacing w:val="-1"/>
                <w:sz w:val="28"/>
                <w:szCs w:val="28"/>
              </w:rPr>
              <w:t>1000元口</w:t>
            </w:r>
          </w:p>
        </w:tc>
      </w:tr>
      <w:tr w14:paraId="4CEFF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70" w:type="dxa"/>
            <w:vMerge w:val="continue"/>
            <w:tcBorders>
              <w:top w:val="nil"/>
              <w:bottom w:val="nil"/>
            </w:tcBorders>
            <w:vAlign w:val="top"/>
          </w:tcPr>
          <w:p w14:paraId="31924566">
            <w:pPr>
              <w:pStyle w:val="4"/>
            </w:pPr>
          </w:p>
        </w:tc>
        <w:tc>
          <w:tcPr>
            <w:tcW w:w="1432" w:type="dxa"/>
            <w:vAlign w:val="top"/>
          </w:tcPr>
          <w:p w14:paraId="228C85C1">
            <w:pPr>
              <w:spacing w:before="228" w:line="212"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开户银行</w:t>
            </w:r>
          </w:p>
        </w:tc>
        <w:tc>
          <w:tcPr>
            <w:tcW w:w="6173" w:type="dxa"/>
            <w:gridSpan w:val="3"/>
            <w:vAlign w:val="top"/>
          </w:tcPr>
          <w:p w14:paraId="77E16316">
            <w:pPr>
              <w:pStyle w:val="4"/>
              <w:rPr>
                <w:rFonts w:hint="eastAsia" w:ascii="仿宋_GB2312" w:hAnsi="仿宋_GB2312" w:eastAsia="仿宋_GB2312" w:cs="仿宋_GB2312"/>
                <w:sz w:val="28"/>
                <w:szCs w:val="28"/>
              </w:rPr>
            </w:pPr>
          </w:p>
        </w:tc>
      </w:tr>
      <w:tr w14:paraId="2FD809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470" w:type="dxa"/>
            <w:vMerge w:val="continue"/>
            <w:tcBorders>
              <w:top w:val="nil"/>
              <w:bottom w:val="nil"/>
            </w:tcBorders>
            <w:vAlign w:val="top"/>
          </w:tcPr>
          <w:p w14:paraId="149EB470">
            <w:pPr>
              <w:pStyle w:val="4"/>
            </w:pPr>
          </w:p>
        </w:tc>
        <w:tc>
          <w:tcPr>
            <w:tcW w:w="1432" w:type="dxa"/>
            <w:vAlign w:val="top"/>
          </w:tcPr>
          <w:p w14:paraId="625F532F">
            <w:pPr>
              <w:spacing w:before="208" w:line="218"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银行账号</w:t>
            </w:r>
          </w:p>
        </w:tc>
        <w:tc>
          <w:tcPr>
            <w:tcW w:w="6173" w:type="dxa"/>
            <w:gridSpan w:val="3"/>
            <w:vAlign w:val="top"/>
          </w:tcPr>
          <w:p w14:paraId="2A03B82D">
            <w:pPr>
              <w:pStyle w:val="4"/>
              <w:rPr>
                <w:rFonts w:hint="eastAsia" w:ascii="仿宋_GB2312" w:hAnsi="仿宋_GB2312" w:eastAsia="仿宋_GB2312" w:cs="仿宋_GB2312"/>
                <w:sz w:val="28"/>
                <w:szCs w:val="28"/>
              </w:rPr>
            </w:pPr>
          </w:p>
        </w:tc>
      </w:tr>
      <w:tr w14:paraId="2836E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70" w:type="dxa"/>
            <w:vMerge w:val="continue"/>
            <w:tcBorders>
              <w:top w:val="nil"/>
              <w:bottom w:val="nil"/>
            </w:tcBorders>
            <w:vAlign w:val="top"/>
          </w:tcPr>
          <w:p w14:paraId="48F46B50">
            <w:pPr>
              <w:pStyle w:val="4"/>
            </w:pPr>
          </w:p>
        </w:tc>
        <w:tc>
          <w:tcPr>
            <w:tcW w:w="1432" w:type="dxa"/>
            <w:vAlign w:val="top"/>
          </w:tcPr>
          <w:p w14:paraId="655F03E1">
            <w:pPr>
              <w:spacing w:before="231" w:line="210" w:lineRule="auto"/>
              <w:ind w:left="111"/>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联系电话</w:t>
            </w:r>
          </w:p>
        </w:tc>
        <w:tc>
          <w:tcPr>
            <w:tcW w:w="6173" w:type="dxa"/>
            <w:gridSpan w:val="3"/>
            <w:vAlign w:val="top"/>
          </w:tcPr>
          <w:p w14:paraId="1BCA7C42">
            <w:pPr>
              <w:pStyle w:val="4"/>
              <w:rPr>
                <w:rFonts w:hint="eastAsia" w:ascii="仿宋_GB2312" w:hAnsi="仿宋_GB2312" w:eastAsia="仿宋_GB2312" w:cs="仿宋_GB2312"/>
                <w:sz w:val="28"/>
                <w:szCs w:val="28"/>
              </w:rPr>
            </w:pPr>
          </w:p>
        </w:tc>
      </w:tr>
      <w:tr w14:paraId="6AF20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8" w:hRule="atLeast"/>
        </w:trPr>
        <w:tc>
          <w:tcPr>
            <w:tcW w:w="1470" w:type="dxa"/>
            <w:vMerge w:val="continue"/>
            <w:tcBorders>
              <w:top w:val="nil"/>
            </w:tcBorders>
            <w:vAlign w:val="top"/>
          </w:tcPr>
          <w:p w14:paraId="635A9F13">
            <w:pPr>
              <w:pStyle w:val="4"/>
            </w:pPr>
          </w:p>
        </w:tc>
        <w:tc>
          <w:tcPr>
            <w:tcW w:w="7605" w:type="dxa"/>
            <w:gridSpan w:val="4"/>
            <w:vAlign w:val="top"/>
          </w:tcPr>
          <w:p w14:paraId="51A66667">
            <w:pPr>
              <w:spacing w:before="138" w:line="219" w:lineRule="auto"/>
              <w:ind w:left="131"/>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经办人申明：</w:t>
            </w:r>
          </w:p>
          <w:p w14:paraId="6ED78640">
            <w:pPr>
              <w:spacing w:before="88" w:line="298" w:lineRule="auto"/>
              <w:ind w:left="121" w:firstLine="549"/>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本人承诺所提交全部材料真实有效，自愿参与骨灰节地生</w:t>
            </w:r>
            <w:r>
              <w:rPr>
                <w:rFonts w:hint="eastAsia" w:ascii="仿宋_GB2312" w:hAnsi="仿宋_GB2312" w:eastAsia="仿宋_GB2312" w:cs="仿宋_GB2312"/>
                <w:spacing w:val="2"/>
                <w:sz w:val="28"/>
                <w:szCs w:val="28"/>
              </w:rPr>
              <w:t xml:space="preserve"> </w:t>
            </w:r>
            <w:r>
              <w:rPr>
                <w:rFonts w:hint="eastAsia" w:ascii="仿宋_GB2312" w:hAnsi="仿宋_GB2312" w:eastAsia="仿宋_GB2312" w:cs="仿宋_GB2312"/>
                <w:sz w:val="28"/>
                <w:szCs w:val="28"/>
              </w:rPr>
              <w:t>态葬。逝者其他近亲属、法定监护人对本人办理和申领奖励金</w:t>
            </w:r>
            <w:r>
              <w:rPr>
                <w:rFonts w:hint="eastAsia" w:ascii="仿宋_GB2312" w:hAnsi="仿宋_GB2312" w:eastAsia="仿宋_GB2312" w:cs="仿宋_GB2312"/>
                <w:spacing w:val="10"/>
                <w:sz w:val="28"/>
                <w:szCs w:val="28"/>
              </w:rPr>
              <w:t xml:space="preserve"> </w:t>
            </w:r>
            <w:r>
              <w:rPr>
                <w:rFonts w:hint="eastAsia" w:ascii="仿宋_GB2312" w:hAnsi="仿宋_GB2312" w:eastAsia="仿宋_GB2312" w:cs="仿宋_GB2312"/>
                <w:spacing w:val="-1"/>
                <w:sz w:val="28"/>
                <w:szCs w:val="28"/>
              </w:rPr>
              <w:t>无异议。</w:t>
            </w:r>
          </w:p>
          <w:p w14:paraId="02305F6B">
            <w:pPr>
              <w:pStyle w:val="4"/>
              <w:spacing w:line="259" w:lineRule="auto"/>
              <w:rPr>
                <w:rFonts w:hint="eastAsia" w:ascii="仿宋_GB2312" w:hAnsi="仿宋_GB2312" w:eastAsia="仿宋_GB2312" w:cs="仿宋_GB2312"/>
                <w:sz w:val="28"/>
                <w:szCs w:val="28"/>
              </w:rPr>
            </w:pPr>
          </w:p>
          <w:p w14:paraId="492C078C">
            <w:pPr>
              <w:pStyle w:val="4"/>
              <w:spacing w:line="259" w:lineRule="auto"/>
              <w:rPr>
                <w:rFonts w:hint="eastAsia" w:ascii="仿宋_GB2312" w:hAnsi="仿宋_GB2312" w:eastAsia="仿宋_GB2312" w:cs="仿宋_GB2312"/>
                <w:sz w:val="28"/>
                <w:szCs w:val="28"/>
              </w:rPr>
            </w:pPr>
          </w:p>
          <w:p w14:paraId="3F044D25">
            <w:pPr>
              <w:pStyle w:val="4"/>
              <w:spacing w:line="260" w:lineRule="auto"/>
              <w:rPr>
                <w:rFonts w:hint="eastAsia" w:ascii="仿宋_GB2312" w:hAnsi="仿宋_GB2312" w:eastAsia="仿宋_GB2312" w:cs="仿宋_GB2312"/>
                <w:sz w:val="28"/>
                <w:szCs w:val="28"/>
              </w:rPr>
            </w:pPr>
          </w:p>
          <w:p w14:paraId="147D49A1">
            <w:pPr>
              <w:spacing w:before="91" w:line="213" w:lineRule="auto"/>
              <w:ind w:left="303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签名：</w:t>
            </w:r>
            <w:r>
              <w:rPr>
                <w:rFonts w:hint="eastAsia" w:ascii="仿宋_GB2312" w:hAnsi="仿宋_GB2312" w:eastAsia="仿宋_GB2312" w:cs="仿宋_GB2312"/>
                <w:spacing w:val="12"/>
                <w:sz w:val="28"/>
                <w:szCs w:val="28"/>
              </w:rPr>
              <w:t xml:space="preserve">          </w:t>
            </w:r>
            <w:r>
              <w:rPr>
                <w:rFonts w:hint="eastAsia" w:ascii="仿宋_GB2312" w:hAnsi="仿宋_GB2312" w:eastAsia="仿宋_GB2312" w:cs="仿宋_GB2312"/>
                <w:sz w:val="28"/>
                <w:szCs w:val="28"/>
              </w:rPr>
              <w:t>日期：</w:t>
            </w:r>
          </w:p>
        </w:tc>
      </w:tr>
    </w:tbl>
    <w:p w14:paraId="520CC734">
      <w:pPr>
        <w:rPr>
          <w:rFonts w:ascii="Arial"/>
          <w:sz w:val="21"/>
        </w:rPr>
      </w:pPr>
    </w:p>
    <w:p w14:paraId="3CC5F3C9">
      <w:pPr>
        <w:rPr>
          <w:rFonts w:ascii="Arial" w:hAnsi="Arial" w:eastAsia="Arial" w:cs="Arial"/>
          <w:sz w:val="21"/>
          <w:szCs w:val="21"/>
        </w:rPr>
        <w:sectPr>
          <w:pgSz w:w="11900" w:h="16840"/>
          <w:pgMar w:top="1328" w:right="1438" w:bottom="0" w:left="1314" w:header="0" w:footer="0" w:gutter="0"/>
          <w:cols w:space="720" w:num="1"/>
        </w:sectPr>
      </w:pPr>
    </w:p>
    <w:tbl>
      <w:tblPr>
        <w:tblStyle w:val="5"/>
        <w:tblW w:w="9075" w:type="dxa"/>
        <w:tblInd w:w="-4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85"/>
        <w:gridCol w:w="7590"/>
      </w:tblGrid>
      <w:tr w14:paraId="702D3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0" w:hRule="atLeast"/>
        </w:trPr>
        <w:tc>
          <w:tcPr>
            <w:tcW w:w="1485" w:type="dxa"/>
            <w:vAlign w:val="top"/>
          </w:tcPr>
          <w:p w14:paraId="203023DA">
            <w:pPr>
              <w:pStyle w:val="4"/>
              <w:spacing w:line="247" w:lineRule="auto"/>
            </w:pPr>
          </w:p>
          <w:p w14:paraId="06FB4144">
            <w:pPr>
              <w:pStyle w:val="4"/>
              <w:spacing w:line="247" w:lineRule="auto"/>
            </w:pPr>
          </w:p>
          <w:p w14:paraId="73C2B758">
            <w:pPr>
              <w:pStyle w:val="4"/>
              <w:spacing w:line="247" w:lineRule="auto"/>
            </w:pPr>
          </w:p>
          <w:p w14:paraId="6C2519F3">
            <w:pPr>
              <w:pStyle w:val="4"/>
              <w:spacing w:line="247" w:lineRule="auto"/>
            </w:pPr>
          </w:p>
          <w:p w14:paraId="4D9E9582">
            <w:pPr>
              <w:pStyle w:val="4"/>
              <w:spacing w:line="248" w:lineRule="auto"/>
            </w:pPr>
          </w:p>
          <w:p w14:paraId="37B3924F">
            <w:pPr>
              <w:pStyle w:val="4"/>
              <w:spacing w:line="248" w:lineRule="auto"/>
            </w:pPr>
          </w:p>
          <w:p w14:paraId="0A597674">
            <w:pPr>
              <w:pStyle w:val="4"/>
              <w:spacing w:line="248" w:lineRule="auto"/>
            </w:pPr>
          </w:p>
          <w:p w14:paraId="4063782D">
            <w:pPr>
              <w:pStyle w:val="4"/>
              <w:spacing w:line="248" w:lineRule="auto"/>
            </w:pPr>
          </w:p>
          <w:p w14:paraId="5DC92F64">
            <w:pPr>
              <w:spacing w:before="101" w:line="246" w:lineRule="auto"/>
              <w:ind w:left="79" w:right="64"/>
              <w:rPr>
                <w:rFonts w:ascii="宋体" w:hAnsi="宋体" w:eastAsia="宋体" w:cs="宋体"/>
                <w:sz w:val="31"/>
                <w:szCs w:val="31"/>
              </w:rPr>
            </w:pPr>
            <w:r>
              <w:rPr>
                <w:rFonts w:hint="eastAsia" w:ascii="黑体" w:hAnsi="黑体" w:eastAsia="黑体" w:cs="黑体"/>
                <w:b w:val="0"/>
                <w:bCs w:val="0"/>
                <w:spacing w:val="-1"/>
                <w:sz w:val="28"/>
                <w:szCs w:val="28"/>
              </w:rPr>
              <w:t>组织承办</w:t>
            </w:r>
            <w:r>
              <w:rPr>
                <w:rFonts w:hint="eastAsia" w:ascii="黑体" w:hAnsi="黑体" w:eastAsia="黑体" w:cs="黑体"/>
                <w:b w:val="0"/>
                <w:bCs w:val="0"/>
                <w:sz w:val="28"/>
                <w:szCs w:val="28"/>
              </w:rPr>
              <w:t xml:space="preserve"> </w:t>
            </w:r>
            <w:r>
              <w:rPr>
                <w:rFonts w:hint="eastAsia" w:ascii="黑体" w:hAnsi="黑体" w:eastAsia="黑体" w:cs="黑体"/>
                <w:b w:val="0"/>
                <w:bCs w:val="0"/>
                <w:spacing w:val="-2"/>
                <w:sz w:val="28"/>
                <w:szCs w:val="28"/>
              </w:rPr>
              <w:t>单位意见</w:t>
            </w:r>
          </w:p>
        </w:tc>
        <w:tc>
          <w:tcPr>
            <w:tcW w:w="7590" w:type="dxa"/>
            <w:vAlign w:val="top"/>
          </w:tcPr>
          <w:p w14:paraId="1BEAB589">
            <w:pPr>
              <w:pStyle w:val="4"/>
              <w:spacing w:line="248" w:lineRule="auto"/>
              <w:rPr>
                <w:rFonts w:hint="eastAsia" w:ascii="仿宋_GB2312" w:hAnsi="仿宋_GB2312" w:eastAsia="仿宋_GB2312" w:cs="仿宋_GB2312"/>
              </w:rPr>
            </w:pPr>
          </w:p>
          <w:p w14:paraId="3082C93D">
            <w:pPr>
              <w:pStyle w:val="4"/>
              <w:spacing w:line="248" w:lineRule="auto"/>
              <w:rPr>
                <w:rFonts w:hint="eastAsia" w:ascii="仿宋_GB2312" w:hAnsi="仿宋_GB2312" w:eastAsia="仿宋_GB2312" w:cs="仿宋_GB2312"/>
              </w:rPr>
            </w:pPr>
          </w:p>
          <w:p w14:paraId="256AA3E1">
            <w:pPr>
              <w:pStyle w:val="4"/>
              <w:spacing w:line="248" w:lineRule="auto"/>
              <w:rPr>
                <w:rFonts w:hint="eastAsia" w:ascii="仿宋_GB2312" w:hAnsi="仿宋_GB2312" w:eastAsia="仿宋_GB2312" w:cs="仿宋_GB2312"/>
              </w:rPr>
            </w:pPr>
          </w:p>
          <w:p w14:paraId="00E04F91">
            <w:pPr>
              <w:pStyle w:val="4"/>
              <w:spacing w:line="248" w:lineRule="auto"/>
              <w:rPr>
                <w:rFonts w:hint="eastAsia" w:ascii="仿宋_GB2312" w:hAnsi="仿宋_GB2312" w:eastAsia="仿宋_GB2312" w:cs="仿宋_GB2312"/>
              </w:rPr>
            </w:pPr>
          </w:p>
          <w:p w14:paraId="39FE2ACF">
            <w:pPr>
              <w:pStyle w:val="4"/>
              <w:spacing w:line="248" w:lineRule="auto"/>
              <w:rPr>
                <w:rFonts w:hint="eastAsia" w:ascii="仿宋_GB2312" w:hAnsi="仿宋_GB2312" w:eastAsia="仿宋_GB2312" w:cs="仿宋_GB2312"/>
              </w:rPr>
            </w:pPr>
          </w:p>
          <w:p w14:paraId="063B8E3D">
            <w:pPr>
              <w:pStyle w:val="4"/>
              <w:spacing w:line="248" w:lineRule="auto"/>
              <w:rPr>
                <w:rFonts w:hint="eastAsia" w:ascii="仿宋_GB2312" w:hAnsi="仿宋_GB2312" w:eastAsia="仿宋_GB2312" w:cs="仿宋_GB2312"/>
              </w:rPr>
            </w:pPr>
          </w:p>
          <w:p w14:paraId="0A757D98">
            <w:pPr>
              <w:pStyle w:val="4"/>
              <w:spacing w:line="249" w:lineRule="auto"/>
              <w:rPr>
                <w:rFonts w:hint="eastAsia" w:ascii="仿宋_GB2312" w:hAnsi="仿宋_GB2312" w:eastAsia="仿宋_GB2312" w:cs="仿宋_GB2312"/>
              </w:rPr>
            </w:pPr>
          </w:p>
          <w:p w14:paraId="409BE726">
            <w:pPr>
              <w:pStyle w:val="4"/>
              <w:spacing w:line="249" w:lineRule="auto"/>
              <w:rPr>
                <w:rFonts w:hint="eastAsia" w:ascii="仿宋_GB2312" w:hAnsi="仿宋_GB2312" w:eastAsia="仿宋_GB2312" w:cs="仿宋_GB2312"/>
              </w:rPr>
            </w:pPr>
          </w:p>
          <w:p w14:paraId="24674DFC">
            <w:pPr>
              <w:pStyle w:val="4"/>
              <w:spacing w:line="249" w:lineRule="auto"/>
              <w:rPr>
                <w:rFonts w:hint="eastAsia" w:ascii="仿宋_GB2312" w:hAnsi="仿宋_GB2312" w:eastAsia="仿宋_GB2312" w:cs="仿宋_GB2312"/>
              </w:rPr>
            </w:pPr>
          </w:p>
          <w:p w14:paraId="288541DD">
            <w:pPr>
              <w:pStyle w:val="4"/>
              <w:spacing w:line="249" w:lineRule="auto"/>
              <w:rPr>
                <w:rFonts w:hint="eastAsia" w:ascii="仿宋_GB2312" w:hAnsi="仿宋_GB2312" w:eastAsia="仿宋_GB2312" w:cs="仿宋_GB2312"/>
              </w:rPr>
            </w:pPr>
          </w:p>
          <w:p w14:paraId="7C7FBC0F">
            <w:pPr>
              <w:pStyle w:val="4"/>
              <w:spacing w:line="249" w:lineRule="auto"/>
              <w:rPr>
                <w:rFonts w:hint="eastAsia" w:ascii="仿宋_GB2312" w:hAnsi="仿宋_GB2312" w:eastAsia="仿宋_GB2312" w:cs="仿宋_GB2312"/>
              </w:rPr>
            </w:pPr>
          </w:p>
          <w:p w14:paraId="3BBCD444">
            <w:pPr>
              <w:pStyle w:val="4"/>
              <w:spacing w:line="249" w:lineRule="auto"/>
              <w:rPr>
                <w:rFonts w:hint="eastAsia" w:ascii="仿宋_GB2312" w:hAnsi="仿宋_GB2312" w:eastAsia="仿宋_GB2312" w:cs="仿宋_GB2312"/>
              </w:rPr>
            </w:pPr>
          </w:p>
          <w:p w14:paraId="7FF94725">
            <w:pPr>
              <w:pStyle w:val="4"/>
              <w:spacing w:line="249" w:lineRule="auto"/>
              <w:rPr>
                <w:rFonts w:hint="eastAsia" w:ascii="仿宋_GB2312" w:hAnsi="仿宋_GB2312" w:eastAsia="仿宋_GB2312" w:cs="仿宋_GB2312"/>
              </w:rPr>
            </w:pPr>
          </w:p>
          <w:p w14:paraId="1B2A6925">
            <w:pPr>
              <w:pStyle w:val="4"/>
              <w:spacing w:line="249" w:lineRule="auto"/>
              <w:rPr>
                <w:rFonts w:hint="eastAsia" w:ascii="仿宋_GB2312" w:hAnsi="仿宋_GB2312" w:eastAsia="仿宋_GB2312" w:cs="仿宋_GB2312"/>
              </w:rPr>
            </w:pPr>
          </w:p>
          <w:p w14:paraId="7E33B226">
            <w:pPr>
              <w:spacing w:before="101" w:line="225" w:lineRule="auto"/>
              <w:rPr>
                <w:rFonts w:hint="eastAsia" w:ascii="仿宋_GB2312" w:hAnsi="仿宋_GB2312" w:eastAsia="仿宋_GB2312" w:cs="仿宋_GB2312"/>
                <w:spacing w:val="4"/>
                <w:sz w:val="31"/>
                <w:szCs w:val="31"/>
              </w:rPr>
            </w:pPr>
            <w:r>
              <w:rPr>
                <w:rFonts w:hint="eastAsia" w:ascii="仿宋_GB2312" w:hAnsi="仿宋_GB2312" w:eastAsia="仿宋_GB2312" w:cs="仿宋_GB2312"/>
                <w:spacing w:val="4"/>
                <w:sz w:val="31"/>
                <w:szCs w:val="31"/>
              </w:rPr>
              <w:t>经办人：      单位负责人：      (印章)</w:t>
            </w:r>
          </w:p>
          <w:p w14:paraId="133FB959">
            <w:pPr>
              <w:spacing w:before="101" w:line="225" w:lineRule="auto"/>
              <w:ind w:left="1162"/>
              <w:jc w:val="center"/>
              <w:rPr>
                <w:rFonts w:hint="eastAsia" w:ascii="仿宋_GB2312" w:hAnsi="仿宋_GB2312" w:eastAsia="仿宋_GB2312" w:cs="仿宋_GB2312"/>
                <w:sz w:val="31"/>
                <w:szCs w:val="31"/>
              </w:rPr>
            </w:pPr>
            <w:r>
              <w:rPr>
                <w:rFonts w:hint="eastAsia" w:ascii="仿宋_GB2312" w:hAnsi="仿宋_GB2312" w:eastAsia="仿宋_GB2312" w:cs="仿宋_GB2312"/>
                <w:spacing w:val="4"/>
                <w:sz w:val="31"/>
                <w:szCs w:val="31"/>
                <w:lang w:val="en-US" w:eastAsia="zh-CN"/>
              </w:rPr>
              <w:t xml:space="preserve">              </w:t>
            </w:r>
            <w:r>
              <w:rPr>
                <w:rFonts w:hint="eastAsia" w:ascii="仿宋_GB2312" w:hAnsi="仿宋_GB2312" w:eastAsia="仿宋_GB2312" w:cs="仿宋_GB2312"/>
                <w:spacing w:val="4"/>
                <w:sz w:val="31"/>
                <w:szCs w:val="31"/>
              </w:rPr>
              <w:t>年  月  日</w:t>
            </w:r>
          </w:p>
        </w:tc>
      </w:tr>
      <w:tr w14:paraId="67710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9" w:hRule="atLeast"/>
        </w:trPr>
        <w:tc>
          <w:tcPr>
            <w:tcW w:w="1485" w:type="dxa"/>
            <w:vAlign w:val="top"/>
          </w:tcPr>
          <w:p w14:paraId="72D87254">
            <w:pPr>
              <w:pStyle w:val="4"/>
              <w:spacing w:line="245" w:lineRule="auto"/>
            </w:pPr>
          </w:p>
          <w:p w14:paraId="2F2DB787">
            <w:pPr>
              <w:pStyle w:val="4"/>
              <w:spacing w:line="245" w:lineRule="auto"/>
            </w:pPr>
          </w:p>
          <w:p w14:paraId="5CE73ACE">
            <w:pPr>
              <w:pStyle w:val="4"/>
              <w:spacing w:line="245" w:lineRule="auto"/>
            </w:pPr>
          </w:p>
          <w:p w14:paraId="6CB7E164">
            <w:pPr>
              <w:pStyle w:val="4"/>
              <w:spacing w:line="245" w:lineRule="auto"/>
            </w:pPr>
          </w:p>
          <w:p w14:paraId="50FFFF44">
            <w:pPr>
              <w:pStyle w:val="4"/>
              <w:spacing w:line="245" w:lineRule="auto"/>
            </w:pPr>
          </w:p>
          <w:p w14:paraId="1491B95F">
            <w:pPr>
              <w:pStyle w:val="4"/>
              <w:spacing w:line="245" w:lineRule="auto"/>
            </w:pPr>
          </w:p>
          <w:p w14:paraId="17C18E55">
            <w:pPr>
              <w:pStyle w:val="4"/>
              <w:spacing w:line="245" w:lineRule="auto"/>
            </w:pPr>
          </w:p>
          <w:p w14:paraId="5F210348">
            <w:pPr>
              <w:pStyle w:val="4"/>
              <w:spacing w:line="246" w:lineRule="auto"/>
            </w:pPr>
          </w:p>
          <w:p w14:paraId="1BFA7C2C">
            <w:pPr>
              <w:spacing w:before="101" w:line="246" w:lineRule="auto"/>
              <w:ind w:left="79" w:right="64"/>
              <w:rPr>
                <w:rFonts w:ascii="宋体" w:hAnsi="宋体" w:eastAsia="宋体" w:cs="宋体"/>
                <w:sz w:val="31"/>
                <w:szCs w:val="31"/>
              </w:rPr>
            </w:pPr>
            <w:r>
              <w:rPr>
                <w:rFonts w:hint="eastAsia" w:ascii="黑体" w:hAnsi="黑体" w:eastAsia="黑体" w:cs="黑体"/>
                <w:b w:val="0"/>
                <w:bCs w:val="0"/>
                <w:spacing w:val="-1"/>
                <w:sz w:val="28"/>
                <w:szCs w:val="28"/>
              </w:rPr>
              <w:t>民政部门 审核意见</w:t>
            </w:r>
          </w:p>
        </w:tc>
        <w:tc>
          <w:tcPr>
            <w:tcW w:w="7590" w:type="dxa"/>
            <w:vAlign w:val="top"/>
          </w:tcPr>
          <w:p w14:paraId="5319C39F">
            <w:pPr>
              <w:pStyle w:val="4"/>
              <w:spacing w:line="246" w:lineRule="auto"/>
              <w:rPr>
                <w:rFonts w:hint="eastAsia" w:ascii="仿宋_GB2312" w:hAnsi="仿宋_GB2312" w:eastAsia="仿宋_GB2312" w:cs="仿宋_GB2312"/>
              </w:rPr>
            </w:pPr>
          </w:p>
          <w:p w14:paraId="09A33D12">
            <w:pPr>
              <w:pStyle w:val="4"/>
              <w:spacing w:line="246" w:lineRule="auto"/>
              <w:rPr>
                <w:rFonts w:hint="eastAsia" w:ascii="仿宋_GB2312" w:hAnsi="仿宋_GB2312" w:eastAsia="仿宋_GB2312" w:cs="仿宋_GB2312"/>
              </w:rPr>
            </w:pPr>
          </w:p>
          <w:p w14:paraId="35D72635">
            <w:pPr>
              <w:pStyle w:val="4"/>
              <w:spacing w:line="246" w:lineRule="auto"/>
              <w:rPr>
                <w:rFonts w:hint="eastAsia" w:ascii="仿宋_GB2312" w:hAnsi="仿宋_GB2312" w:eastAsia="仿宋_GB2312" w:cs="仿宋_GB2312"/>
              </w:rPr>
            </w:pPr>
          </w:p>
          <w:p w14:paraId="497CD7B9">
            <w:pPr>
              <w:pStyle w:val="4"/>
              <w:spacing w:line="246" w:lineRule="auto"/>
              <w:rPr>
                <w:rFonts w:hint="eastAsia" w:ascii="仿宋_GB2312" w:hAnsi="仿宋_GB2312" w:eastAsia="仿宋_GB2312" w:cs="仿宋_GB2312"/>
              </w:rPr>
            </w:pPr>
          </w:p>
          <w:p w14:paraId="5B0C88B2">
            <w:pPr>
              <w:pStyle w:val="4"/>
              <w:spacing w:line="246" w:lineRule="auto"/>
              <w:rPr>
                <w:rFonts w:hint="eastAsia" w:ascii="仿宋_GB2312" w:hAnsi="仿宋_GB2312" w:eastAsia="仿宋_GB2312" w:cs="仿宋_GB2312"/>
              </w:rPr>
            </w:pPr>
          </w:p>
          <w:p w14:paraId="2BFCA499">
            <w:pPr>
              <w:pStyle w:val="4"/>
              <w:spacing w:line="246" w:lineRule="auto"/>
              <w:rPr>
                <w:rFonts w:hint="eastAsia" w:ascii="仿宋_GB2312" w:hAnsi="仿宋_GB2312" w:eastAsia="仿宋_GB2312" w:cs="仿宋_GB2312"/>
              </w:rPr>
            </w:pPr>
          </w:p>
          <w:p w14:paraId="1CB90509">
            <w:pPr>
              <w:pStyle w:val="4"/>
              <w:spacing w:line="246" w:lineRule="auto"/>
              <w:rPr>
                <w:rFonts w:hint="eastAsia" w:ascii="仿宋_GB2312" w:hAnsi="仿宋_GB2312" w:eastAsia="仿宋_GB2312" w:cs="仿宋_GB2312"/>
              </w:rPr>
            </w:pPr>
          </w:p>
          <w:p w14:paraId="41E22556">
            <w:pPr>
              <w:pStyle w:val="4"/>
              <w:spacing w:line="246" w:lineRule="auto"/>
              <w:rPr>
                <w:rFonts w:hint="eastAsia" w:ascii="仿宋_GB2312" w:hAnsi="仿宋_GB2312" w:eastAsia="仿宋_GB2312" w:cs="仿宋_GB2312"/>
              </w:rPr>
            </w:pPr>
          </w:p>
          <w:p w14:paraId="1D57DD05">
            <w:pPr>
              <w:pStyle w:val="4"/>
              <w:spacing w:line="246" w:lineRule="auto"/>
              <w:rPr>
                <w:rFonts w:hint="eastAsia" w:ascii="仿宋_GB2312" w:hAnsi="仿宋_GB2312" w:eastAsia="仿宋_GB2312" w:cs="仿宋_GB2312"/>
              </w:rPr>
            </w:pPr>
          </w:p>
          <w:p w14:paraId="619776F3">
            <w:pPr>
              <w:pStyle w:val="4"/>
              <w:spacing w:line="246" w:lineRule="auto"/>
              <w:rPr>
                <w:rFonts w:hint="eastAsia" w:ascii="仿宋_GB2312" w:hAnsi="仿宋_GB2312" w:eastAsia="仿宋_GB2312" w:cs="仿宋_GB2312"/>
              </w:rPr>
            </w:pPr>
          </w:p>
          <w:p w14:paraId="5426B13B">
            <w:pPr>
              <w:pStyle w:val="4"/>
              <w:spacing w:line="246" w:lineRule="auto"/>
              <w:rPr>
                <w:rFonts w:hint="eastAsia" w:ascii="仿宋_GB2312" w:hAnsi="仿宋_GB2312" w:eastAsia="仿宋_GB2312" w:cs="仿宋_GB2312"/>
              </w:rPr>
            </w:pPr>
          </w:p>
          <w:p w14:paraId="47CF8207">
            <w:pPr>
              <w:pStyle w:val="4"/>
              <w:spacing w:line="246" w:lineRule="auto"/>
              <w:rPr>
                <w:rFonts w:hint="eastAsia" w:ascii="仿宋_GB2312" w:hAnsi="仿宋_GB2312" w:eastAsia="仿宋_GB2312" w:cs="仿宋_GB2312"/>
              </w:rPr>
            </w:pPr>
          </w:p>
          <w:p w14:paraId="3A7E122C">
            <w:pPr>
              <w:pStyle w:val="4"/>
              <w:spacing w:line="246" w:lineRule="auto"/>
              <w:rPr>
                <w:rFonts w:hint="eastAsia" w:ascii="仿宋_GB2312" w:hAnsi="仿宋_GB2312" w:eastAsia="仿宋_GB2312" w:cs="仿宋_GB2312"/>
              </w:rPr>
            </w:pPr>
          </w:p>
          <w:p w14:paraId="3F844672">
            <w:pPr>
              <w:pStyle w:val="4"/>
              <w:spacing w:line="246" w:lineRule="auto"/>
              <w:rPr>
                <w:rFonts w:hint="eastAsia" w:ascii="仿宋_GB2312" w:hAnsi="仿宋_GB2312" w:eastAsia="仿宋_GB2312" w:cs="仿宋_GB2312"/>
              </w:rPr>
            </w:pPr>
          </w:p>
          <w:p w14:paraId="2DDBFC01">
            <w:pPr>
              <w:spacing w:before="101" w:line="225" w:lineRule="auto"/>
              <w:rPr>
                <w:rFonts w:hint="eastAsia" w:ascii="仿宋_GB2312" w:hAnsi="仿宋_GB2312" w:eastAsia="仿宋_GB2312" w:cs="仿宋_GB2312"/>
                <w:sz w:val="31"/>
                <w:szCs w:val="31"/>
              </w:rPr>
            </w:pPr>
            <w:r>
              <w:rPr>
                <w:rFonts w:hint="eastAsia" w:ascii="仿宋_GB2312" w:hAnsi="仿宋_GB2312" w:eastAsia="仿宋_GB2312" w:cs="仿宋_GB2312"/>
                <w:spacing w:val="4"/>
                <w:sz w:val="31"/>
                <w:szCs w:val="31"/>
              </w:rPr>
              <w:t>审核人：</w:t>
            </w:r>
            <w:r>
              <w:rPr>
                <w:rFonts w:hint="eastAsia" w:ascii="仿宋_GB2312" w:hAnsi="仿宋_GB2312" w:eastAsia="仿宋_GB2312" w:cs="仿宋_GB2312"/>
                <w:spacing w:val="23"/>
                <w:sz w:val="31"/>
                <w:szCs w:val="31"/>
              </w:rPr>
              <w:t xml:space="preserve">      </w:t>
            </w:r>
            <w:r>
              <w:rPr>
                <w:rFonts w:hint="eastAsia" w:ascii="仿宋_GB2312" w:hAnsi="仿宋_GB2312" w:eastAsia="仿宋_GB2312" w:cs="仿宋_GB2312"/>
                <w:spacing w:val="4"/>
                <w:sz w:val="31"/>
                <w:szCs w:val="31"/>
              </w:rPr>
              <w:t>单位负责人：</w:t>
            </w:r>
            <w:r>
              <w:rPr>
                <w:rFonts w:hint="eastAsia" w:ascii="仿宋_GB2312" w:hAnsi="仿宋_GB2312" w:eastAsia="仿宋_GB2312" w:cs="仿宋_GB2312"/>
                <w:spacing w:val="24"/>
                <w:sz w:val="31"/>
                <w:szCs w:val="31"/>
              </w:rPr>
              <w:t xml:space="preserve">      </w:t>
            </w:r>
            <w:r>
              <w:rPr>
                <w:rFonts w:hint="eastAsia" w:ascii="仿宋_GB2312" w:hAnsi="仿宋_GB2312" w:eastAsia="仿宋_GB2312" w:cs="仿宋_GB2312"/>
                <w:spacing w:val="4"/>
                <w:sz w:val="31"/>
                <w:szCs w:val="31"/>
              </w:rPr>
              <w:t>(印章)</w:t>
            </w:r>
          </w:p>
          <w:p w14:paraId="230A299C">
            <w:pPr>
              <w:spacing w:before="303" w:line="219" w:lineRule="auto"/>
              <w:ind w:left="5052"/>
              <w:rPr>
                <w:rFonts w:hint="eastAsia" w:ascii="仿宋_GB2312" w:hAnsi="仿宋_GB2312" w:eastAsia="仿宋_GB2312" w:cs="仿宋_GB2312"/>
                <w:sz w:val="31"/>
                <w:szCs w:val="31"/>
              </w:rPr>
            </w:pPr>
            <w:r>
              <w:rPr>
                <w:rFonts w:hint="eastAsia" w:ascii="仿宋_GB2312" w:hAnsi="仿宋_GB2312" w:eastAsia="仿宋_GB2312" w:cs="仿宋_GB2312"/>
                <w:spacing w:val="-11"/>
                <w:sz w:val="31"/>
                <w:szCs w:val="31"/>
              </w:rPr>
              <w:t>年</w:t>
            </w:r>
            <w:r>
              <w:rPr>
                <w:rFonts w:hint="eastAsia" w:ascii="仿宋_GB2312" w:hAnsi="仿宋_GB2312" w:eastAsia="仿宋_GB2312" w:cs="仿宋_GB2312"/>
                <w:spacing w:val="49"/>
                <w:sz w:val="31"/>
                <w:szCs w:val="31"/>
              </w:rPr>
              <w:t xml:space="preserve"> </w:t>
            </w:r>
            <w:r>
              <w:rPr>
                <w:rFonts w:hint="eastAsia" w:ascii="仿宋_GB2312" w:hAnsi="仿宋_GB2312" w:eastAsia="仿宋_GB2312" w:cs="仿宋_GB2312"/>
                <w:spacing w:val="-11"/>
                <w:sz w:val="31"/>
                <w:szCs w:val="31"/>
              </w:rPr>
              <w:t>月</w:t>
            </w:r>
            <w:r>
              <w:rPr>
                <w:rFonts w:hint="eastAsia" w:ascii="仿宋_GB2312" w:hAnsi="仿宋_GB2312" w:eastAsia="仿宋_GB2312" w:cs="仿宋_GB2312"/>
                <w:spacing w:val="54"/>
                <w:sz w:val="31"/>
                <w:szCs w:val="31"/>
              </w:rPr>
              <w:t xml:space="preserve"> </w:t>
            </w:r>
            <w:r>
              <w:rPr>
                <w:rFonts w:hint="eastAsia" w:ascii="仿宋_GB2312" w:hAnsi="仿宋_GB2312" w:eastAsia="仿宋_GB2312" w:cs="仿宋_GB2312"/>
                <w:spacing w:val="-11"/>
                <w:sz w:val="31"/>
                <w:szCs w:val="31"/>
              </w:rPr>
              <w:t>日</w:t>
            </w:r>
          </w:p>
        </w:tc>
      </w:tr>
    </w:tbl>
    <w:p w14:paraId="327C9141">
      <w:pPr>
        <w:spacing w:before="199" w:line="367" w:lineRule="auto"/>
        <w:ind w:left="1305" w:right="399" w:hanging="830"/>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备注：1.办理生态安葬奖补须提供逝者户口簿</w:t>
      </w:r>
      <w:r>
        <w:rPr>
          <w:rFonts w:hint="eastAsia" w:ascii="仿宋_GB2312" w:hAnsi="仿宋_GB2312" w:eastAsia="仿宋_GB2312" w:cs="仿宋_GB2312"/>
          <w:spacing w:val="-8"/>
          <w:sz w:val="28"/>
          <w:szCs w:val="28"/>
        </w:rPr>
        <w:t>、身份证、火化证明以</w:t>
      </w:r>
      <w:r>
        <w:rPr>
          <w:rFonts w:hint="eastAsia" w:ascii="仿宋_GB2312" w:hAnsi="仿宋_GB2312" w:eastAsia="仿宋_GB2312" w:cs="仿宋_GB2312"/>
          <w:spacing w:val="-9"/>
          <w:sz w:val="28"/>
          <w:szCs w:val="28"/>
        </w:rPr>
        <w:t>及经办人有效证件；2.报民政部门审核时，还应提供骨灰安放</w:t>
      </w:r>
      <w:r>
        <w:rPr>
          <w:rFonts w:hint="eastAsia" w:ascii="仿宋_GB2312" w:hAnsi="仿宋_GB2312" w:eastAsia="仿宋_GB2312" w:cs="仿宋_GB2312"/>
          <w:spacing w:val="3"/>
          <w:sz w:val="28"/>
          <w:szCs w:val="28"/>
        </w:rPr>
        <w:t>证等生态安葬或骨灰撒散证明、影像(图片)材料；3.此表一</w:t>
      </w:r>
      <w:r>
        <w:rPr>
          <w:rFonts w:hint="eastAsia" w:ascii="仿宋_GB2312" w:hAnsi="仿宋_GB2312" w:eastAsia="仿宋_GB2312" w:cs="仿宋_GB2312"/>
          <w:spacing w:val="-6"/>
          <w:sz w:val="28"/>
          <w:szCs w:val="28"/>
        </w:rPr>
        <w:t>式二份，殡葬服务</w:t>
      </w:r>
      <w:r>
        <w:rPr>
          <w:rFonts w:hint="eastAsia" w:ascii="仿宋_GB2312" w:hAnsi="仿宋_GB2312" w:eastAsia="仿宋_GB2312" w:cs="仿宋_GB2312"/>
          <w:spacing w:val="-6"/>
          <w:sz w:val="28"/>
          <w:szCs w:val="28"/>
          <w:lang w:eastAsia="zh-CN"/>
        </w:rPr>
        <w:t>机构、公墓单位</w:t>
      </w:r>
      <w:r>
        <w:rPr>
          <w:rFonts w:hint="eastAsia" w:ascii="仿宋_GB2312" w:hAnsi="仿宋_GB2312" w:eastAsia="仿宋_GB2312" w:cs="仿宋_GB2312"/>
          <w:spacing w:val="-6"/>
          <w:sz w:val="28"/>
          <w:szCs w:val="28"/>
        </w:rPr>
        <w:t>留存一份，民政部门留存一份。</w:t>
      </w:r>
    </w:p>
    <w:p w14:paraId="0DD3713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left"/>
        <w:textAlignment w:val="baseline"/>
        <w:rPr>
          <w:rFonts w:hint="eastAsia" w:ascii="仿宋_GB2312" w:hAnsi="仿宋_GB2312" w:eastAsia="仿宋_GB2312" w:cs="仿宋_GB2312"/>
          <w:sz w:val="32"/>
          <w:szCs w:val="32"/>
          <w:lang w:val="en-US" w:eastAsia="zh-CN"/>
        </w:rPr>
      </w:pPr>
    </w:p>
    <w:p w14:paraId="7D7D00C0"/>
    <w:p w14:paraId="3403AAB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4535F4"/>
    <w:rsid w:val="7E4535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2025-04-21T03:53:00Z</dcterms:created>
  <dc:creator>Administrator</dc:creator>
  <cp:lastModifiedBy>Administrator</cp:lastModifiedBy>
  <dcterms:modified xsi:type="dcterms:W3CDTF">2025-04-21T03:55:20Z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98F378241CC24008B469E3767417871B_11</vt:lpwstr>
  </property>
  <property fmtid="{D5CDD505-2E9C-101B-9397-08002B2CF9AE}" pid="4" name="KSOTemplateDocerSaveRecord">
    <vt:lpwstr>eyJoZGlkIjoiNDFlNmNjYTYzMmNkYjYwODNiYTI0YzJmNjFjNGFkYWQifQ==</vt:lpwstr>
  </property>
</Properties>
</file>